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7D1B" w14:textId="66C65AAF" w:rsidR="0042514E" w:rsidRPr="00E84BA1" w:rsidRDefault="0042514E" w:rsidP="0042514E">
      <w:pPr>
        <w:spacing w:after="0" w:line="240" w:lineRule="auto"/>
        <w:jc w:val="center"/>
        <w:rPr>
          <w:rFonts w:ascii="Arial" w:hAnsi="Arial" w:cs="Arial"/>
          <w:b/>
        </w:rPr>
      </w:pPr>
      <w:r w:rsidRPr="00E84BA1">
        <w:rPr>
          <w:rFonts w:ascii="Arial" w:hAnsi="Arial" w:cs="Arial"/>
          <w:b/>
        </w:rPr>
        <w:t>- PROPUESTA DE</w:t>
      </w:r>
      <w:r w:rsidR="00927EBC">
        <w:rPr>
          <w:rFonts w:ascii="Arial" w:hAnsi="Arial" w:cs="Arial"/>
          <w:b/>
        </w:rPr>
        <w:t xml:space="preserve"> REFORMA</w:t>
      </w:r>
      <w:r w:rsidR="0044393A">
        <w:rPr>
          <w:rFonts w:ascii="Arial" w:hAnsi="Arial" w:cs="Arial"/>
          <w:b/>
        </w:rPr>
        <w:t xml:space="preserve"> A LA LEY DE RÉGIMEN TRIBUTARIO INTERNO (LORTI)-</w:t>
      </w:r>
    </w:p>
    <w:p w14:paraId="5E7E5C0F" w14:textId="77777777" w:rsidR="0042514E" w:rsidRPr="00E84BA1" w:rsidRDefault="0042514E" w:rsidP="0042514E">
      <w:pPr>
        <w:spacing w:after="0" w:line="240" w:lineRule="auto"/>
        <w:jc w:val="both"/>
        <w:rPr>
          <w:rFonts w:ascii="Arial" w:hAnsi="Arial" w:cs="Arial"/>
          <w:b/>
        </w:rPr>
      </w:pPr>
    </w:p>
    <w:p w14:paraId="309E90D4" w14:textId="77777777" w:rsidR="0042514E" w:rsidRPr="00E84BA1" w:rsidRDefault="0042514E" w:rsidP="0042514E">
      <w:pPr>
        <w:spacing w:after="0" w:line="240" w:lineRule="auto"/>
        <w:jc w:val="both"/>
        <w:rPr>
          <w:rFonts w:ascii="Arial" w:hAnsi="Arial" w:cs="Arial"/>
          <w:b/>
        </w:rPr>
      </w:pPr>
    </w:p>
    <w:p w14:paraId="4E26E5A3" w14:textId="7CB7E36E" w:rsidR="0042514E" w:rsidRPr="00E84BA1" w:rsidRDefault="0042514E" w:rsidP="0042514E">
      <w:pPr>
        <w:spacing w:after="0" w:line="240" w:lineRule="auto"/>
        <w:jc w:val="both"/>
        <w:rPr>
          <w:rFonts w:ascii="Arial" w:hAnsi="Arial" w:cs="Arial"/>
        </w:rPr>
      </w:pPr>
      <w:r w:rsidRPr="00E84BA1">
        <w:rPr>
          <w:rFonts w:ascii="Arial" w:hAnsi="Arial" w:cs="Arial"/>
        </w:rPr>
        <w:t xml:space="preserve">El Consorcio de Gobiernos Autónomos Provinciales del Ecuador -CONGOPE-, en referencia al </w:t>
      </w:r>
      <w:r w:rsidRPr="0042514E">
        <w:rPr>
          <w:rFonts w:ascii="Arial" w:hAnsi="Arial" w:cs="Arial"/>
        </w:rPr>
        <w:t>Proyecto de Ley Orgánica para el Desarrollo Económico y Sostenibilidad Fiscal</w:t>
      </w:r>
      <w:r w:rsidRPr="00E84BA1">
        <w:rPr>
          <w:rFonts w:ascii="Arial" w:hAnsi="Arial" w:cs="Arial"/>
        </w:rPr>
        <w:t xml:space="preserve">, </w:t>
      </w:r>
      <w:r>
        <w:rPr>
          <w:rFonts w:ascii="Arial" w:hAnsi="Arial" w:cs="Arial"/>
        </w:rPr>
        <w:t xml:space="preserve">calificada como urgente en materia económica, </w:t>
      </w:r>
      <w:r w:rsidRPr="00E84BA1">
        <w:rPr>
          <w:rFonts w:ascii="Arial" w:hAnsi="Arial" w:cs="Arial"/>
        </w:rPr>
        <w:t xml:space="preserve">ha considerado pertinente exponer a la Comisión </w:t>
      </w:r>
      <w:r w:rsidR="0041080C" w:rsidRPr="00E84BA1">
        <w:rPr>
          <w:rFonts w:ascii="Arial" w:hAnsi="Arial" w:cs="Arial"/>
        </w:rPr>
        <w:t>la siguiente propuesta</w:t>
      </w:r>
      <w:r w:rsidR="0044393A">
        <w:rPr>
          <w:rFonts w:ascii="Arial" w:hAnsi="Arial" w:cs="Arial"/>
        </w:rPr>
        <w:t xml:space="preserve"> de reforma a la Ley de Régimen Tributario Interno: </w:t>
      </w:r>
    </w:p>
    <w:p w14:paraId="66865CDD" w14:textId="77777777" w:rsidR="0042514E" w:rsidRDefault="0042514E" w:rsidP="008C30BA">
      <w:pPr>
        <w:spacing w:after="0" w:line="276" w:lineRule="auto"/>
        <w:rPr>
          <w:rFonts w:ascii="Arial" w:hAnsi="Arial" w:cs="Arial"/>
          <w:b/>
          <w:bCs/>
          <w:lang w:val="es-ES"/>
        </w:rPr>
      </w:pPr>
    </w:p>
    <w:p w14:paraId="273200EE" w14:textId="77777777" w:rsidR="0042514E" w:rsidRDefault="0042514E" w:rsidP="0042514E">
      <w:pPr>
        <w:spacing w:after="0" w:line="276" w:lineRule="auto"/>
        <w:jc w:val="center"/>
        <w:rPr>
          <w:rFonts w:ascii="Arial" w:hAnsi="Arial" w:cs="Arial"/>
          <w:b/>
          <w:bCs/>
          <w:lang w:val="es-ES"/>
        </w:rPr>
      </w:pPr>
    </w:p>
    <w:p w14:paraId="0D103839" w14:textId="4BA58026" w:rsidR="0042514E" w:rsidRPr="0042514E" w:rsidRDefault="0042514E" w:rsidP="0042514E">
      <w:pPr>
        <w:spacing w:after="0" w:line="276" w:lineRule="auto"/>
        <w:jc w:val="center"/>
        <w:rPr>
          <w:rFonts w:ascii="Arial" w:hAnsi="Arial" w:cs="Arial"/>
          <w:b/>
          <w:bCs/>
          <w:lang w:val="es-ES"/>
        </w:rPr>
      </w:pPr>
      <w:r w:rsidRPr="0042514E">
        <w:rPr>
          <w:rFonts w:ascii="Arial" w:hAnsi="Arial" w:cs="Arial"/>
          <w:b/>
          <w:bCs/>
          <w:lang w:val="es-ES"/>
        </w:rPr>
        <w:t>I</w:t>
      </w:r>
    </w:p>
    <w:p w14:paraId="42499E5A" w14:textId="77777777" w:rsidR="0042514E" w:rsidRPr="0042514E" w:rsidRDefault="0042514E" w:rsidP="0042514E">
      <w:pPr>
        <w:spacing w:after="0"/>
        <w:jc w:val="center"/>
        <w:rPr>
          <w:rFonts w:ascii="Arial" w:hAnsi="Arial" w:cs="Arial"/>
          <w:b/>
          <w:bCs/>
          <w:lang w:val="es-ES"/>
        </w:rPr>
      </w:pPr>
      <w:r w:rsidRPr="0042514E">
        <w:rPr>
          <w:rFonts w:ascii="Arial" w:hAnsi="Arial" w:cs="Arial"/>
          <w:b/>
          <w:bCs/>
          <w:lang w:val="es-ES"/>
        </w:rPr>
        <w:t>ANTEDECENTES</w:t>
      </w:r>
    </w:p>
    <w:p w14:paraId="1D4CACA7" w14:textId="77777777" w:rsidR="0042514E" w:rsidRPr="0042514E" w:rsidRDefault="0042514E" w:rsidP="0042514E">
      <w:pPr>
        <w:spacing w:after="0"/>
        <w:jc w:val="center"/>
        <w:rPr>
          <w:rFonts w:ascii="Arial" w:hAnsi="Arial" w:cs="Arial"/>
          <w:b/>
          <w:bCs/>
          <w:lang w:val="es-ES"/>
        </w:rPr>
      </w:pPr>
    </w:p>
    <w:p w14:paraId="218840DC"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El 24 de septiembre de 2020, en la continuación de la sesión Nro. 681 del Pleno de la Asamblea Nacional se trató el Informe para Primer Debate del Proyecto de Ley Reformatoria a la Ley de Régimen Tributario Interno.</w:t>
      </w:r>
    </w:p>
    <w:p w14:paraId="032D08A0" w14:textId="77777777" w:rsidR="0042514E" w:rsidRPr="0042514E" w:rsidRDefault="0042514E" w:rsidP="0042514E">
      <w:pPr>
        <w:pStyle w:val="Prrafodelista"/>
        <w:jc w:val="both"/>
        <w:rPr>
          <w:rFonts w:ascii="Arial" w:hAnsi="Arial" w:cs="Arial"/>
          <w:lang w:val="es-ES"/>
        </w:rPr>
      </w:pPr>
    </w:p>
    <w:p w14:paraId="71B08749"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El día 20 de abril de 2021 el Pleno de la Asamblea Nacional aprobó el Proyecto de Ley  Reformatoria a la Ley de Régimen de Tributario Interno.</w:t>
      </w:r>
    </w:p>
    <w:p w14:paraId="1C42FF53" w14:textId="77777777" w:rsidR="0042514E" w:rsidRPr="0042514E" w:rsidRDefault="0042514E" w:rsidP="0042514E">
      <w:pPr>
        <w:pStyle w:val="Prrafodelista"/>
        <w:rPr>
          <w:rFonts w:ascii="Arial" w:hAnsi="Arial" w:cs="Arial"/>
        </w:rPr>
      </w:pPr>
    </w:p>
    <w:p w14:paraId="5149CAAC"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 xml:space="preserve">El 21 de mayo de 2021 el señor </w:t>
      </w:r>
      <w:proofErr w:type="spellStart"/>
      <w:r w:rsidRPr="0042514E">
        <w:rPr>
          <w:rFonts w:ascii="Arial" w:hAnsi="Arial" w:cs="Arial"/>
          <w:lang w:val="es-ES"/>
        </w:rPr>
        <w:t>Lennin</w:t>
      </w:r>
      <w:proofErr w:type="spellEnd"/>
      <w:r w:rsidRPr="0042514E">
        <w:rPr>
          <w:rFonts w:ascii="Arial" w:hAnsi="Arial" w:cs="Arial"/>
          <w:lang w:val="es-ES"/>
        </w:rPr>
        <w:t xml:space="preserve"> Moreno Garcés, entonces Presidente Constitucional de la República, presentó una objeción “total por inconstitucionalidad” al referido proyecto de Ley.</w:t>
      </w:r>
    </w:p>
    <w:p w14:paraId="16F1192E" w14:textId="77777777" w:rsidR="0042514E" w:rsidRPr="0042514E" w:rsidRDefault="0042514E" w:rsidP="0042514E">
      <w:pPr>
        <w:pStyle w:val="Prrafodelista"/>
        <w:jc w:val="both"/>
        <w:rPr>
          <w:rFonts w:ascii="Arial" w:hAnsi="Arial" w:cs="Arial"/>
        </w:rPr>
      </w:pPr>
    </w:p>
    <w:p w14:paraId="3A5FB461" w14:textId="77777777" w:rsidR="0042514E" w:rsidRPr="0042514E" w:rsidRDefault="0042514E" w:rsidP="0042514E">
      <w:pPr>
        <w:pStyle w:val="Prrafodelista"/>
        <w:numPr>
          <w:ilvl w:val="0"/>
          <w:numId w:val="2"/>
        </w:numPr>
        <w:jc w:val="both"/>
        <w:rPr>
          <w:rFonts w:ascii="Arial" w:hAnsi="Arial" w:cs="Arial"/>
        </w:rPr>
      </w:pPr>
      <w:r w:rsidRPr="0042514E">
        <w:rPr>
          <w:rFonts w:ascii="Arial" w:hAnsi="Arial" w:cs="Arial"/>
          <w:lang w:val="es-ES"/>
        </w:rPr>
        <w:t>Por medio del Dictamen Nro. 2-21-OP/21, en el Caso 2-21-OP de fecha 23 de junio de 2021; la Corte Constitucional, declaró improcedente la objeción de inconstitucional de la Ley de Reformatoria a la Ley de Régimen Tributario Interno, implicando que la Asamblea deba enviarlo para su promulgación en el Registro Oficial.</w:t>
      </w:r>
    </w:p>
    <w:p w14:paraId="0497CFB3" w14:textId="77777777" w:rsidR="0042514E" w:rsidRPr="0042514E" w:rsidRDefault="0042514E" w:rsidP="0042514E">
      <w:pPr>
        <w:pStyle w:val="Prrafodelista"/>
        <w:jc w:val="both"/>
        <w:rPr>
          <w:rFonts w:ascii="Arial" w:hAnsi="Arial" w:cs="Arial"/>
          <w:lang w:val="es-ES"/>
        </w:rPr>
      </w:pPr>
    </w:p>
    <w:p w14:paraId="4F07AD10" w14:textId="77777777" w:rsidR="0042514E" w:rsidRPr="0042514E" w:rsidRDefault="0042514E" w:rsidP="0042514E">
      <w:pPr>
        <w:pStyle w:val="Prrafodelista"/>
        <w:numPr>
          <w:ilvl w:val="0"/>
          <w:numId w:val="3"/>
        </w:numPr>
        <w:jc w:val="both"/>
        <w:rPr>
          <w:rFonts w:ascii="Arial" w:hAnsi="Arial" w:cs="Arial"/>
        </w:rPr>
      </w:pPr>
      <w:r w:rsidRPr="0042514E">
        <w:rPr>
          <w:rFonts w:ascii="Arial" w:hAnsi="Arial" w:cs="Arial"/>
        </w:rPr>
        <w:t>Con fecha 2 de julio de 2021, se publica en el Registro Oficial Suplemento 486, la Ley Reformatoria a la Ley de Régimen Tributario Interno.</w:t>
      </w:r>
    </w:p>
    <w:p w14:paraId="74873100" w14:textId="77777777" w:rsidR="0042514E" w:rsidRPr="0042514E" w:rsidRDefault="0042514E" w:rsidP="0042514E">
      <w:pPr>
        <w:pStyle w:val="Prrafodelista"/>
        <w:jc w:val="both"/>
        <w:rPr>
          <w:rFonts w:ascii="Arial" w:hAnsi="Arial" w:cs="Arial"/>
        </w:rPr>
      </w:pPr>
    </w:p>
    <w:p w14:paraId="016FC650" w14:textId="77777777" w:rsidR="0042514E" w:rsidRPr="0042514E" w:rsidRDefault="0042514E" w:rsidP="0042514E">
      <w:pPr>
        <w:pStyle w:val="Prrafodelista"/>
        <w:numPr>
          <w:ilvl w:val="0"/>
          <w:numId w:val="3"/>
        </w:numPr>
        <w:jc w:val="both"/>
        <w:rPr>
          <w:rFonts w:ascii="Arial" w:hAnsi="Arial" w:cs="Arial"/>
        </w:rPr>
      </w:pPr>
      <w:r w:rsidRPr="0042514E">
        <w:rPr>
          <w:rFonts w:ascii="Arial" w:hAnsi="Arial" w:cs="Arial"/>
        </w:rPr>
        <w:t>Por medio de Resolución NAC-DGERCGC21-0000037, del Servicio de Rentas Internas de fecha 31 de julio del presente año, que trata sobre la retención del Impuesto al Valor Agregado (IVA), que dispone su aplicación desde el mes de agosto.</w:t>
      </w:r>
    </w:p>
    <w:p w14:paraId="3817A189" w14:textId="77777777" w:rsidR="0042514E" w:rsidRPr="0042514E" w:rsidRDefault="0042514E" w:rsidP="0042514E">
      <w:pPr>
        <w:pStyle w:val="Prrafodelista"/>
        <w:rPr>
          <w:rFonts w:ascii="Arial" w:hAnsi="Arial" w:cs="Arial"/>
        </w:rPr>
      </w:pPr>
    </w:p>
    <w:p w14:paraId="7D9CE0A1" w14:textId="77777777" w:rsidR="0042514E" w:rsidRPr="0042514E" w:rsidRDefault="0042514E" w:rsidP="0042514E">
      <w:pPr>
        <w:pStyle w:val="Prrafodelista"/>
        <w:jc w:val="both"/>
        <w:rPr>
          <w:rFonts w:ascii="Arial" w:hAnsi="Arial" w:cs="Arial"/>
        </w:rPr>
      </w:pPr>
    </w:p>
    <w:p w14:paraId="06628052" w14:textId="77777777" w:rsidR="0042514E" w:rsidRPr="0042514E" w:rsidRDefault="0042514E" w:rsidP="0042514E">
      <w:pPr>
        <w:spacing w:after="0"/>
        <w:jc w:val="center"/>
        <w:rPr>
          <w:rFonts w:ascii="Arial" w:hAnsi="Arial" w:cs="Arial"/>
          <w:b/>
          <w:bCs/>
        </w:rPr>
      </w:pPr>
      <w:r w:rsidRPr="0042514E">
        <w:rPr>
          <w:rFonts w:ascii="Arial" w:hAnsi="Arial" w:cs="Arial"/>
          <w:b/>
          <w:bCs/>
        </w:rPr>
        <w:t>II</w:t>
      </w:r>
    </w:p>
    <w:p w14:paraId="0BE178C6" w14:textId="77777777" w:rsidR="0042514E" w:rsidRPr="0042514E" w:rsidRDefault="0042514E" w:rsidP="0042514E">
      <w:pPr>
        <w:spacing w:after="0"/>
        <w:jc w:val="center"/>
        <w:rPr>
          <w:rFonts w:ascii="Arial" w:hAnsi="Arial" w:cs="Arial"/>
          <w:b/>
          <w:bCs/>
        </w:rPr>
      </w:pPr>
      <w:r w:rsidRPr="0042514E">
        <w:rPr>
          <w:rFonts w:ascii="Arial" w:hAnsi="Arial" w:cs="Arial"/>
          <w:b/>
          <w:bCs/>
        </w:rPr>
        <w:t>DESARROLLO Y ANÁLISIS</w:t>
      </w:r>
    </w:p>
    <w:p w14:paraId="63E2F322" w14:textId="77777777" w:rsidR="0042514E" w:rsidRPr="0042514E" w:rsidRDefault="0042514E" w:rsidP="0042514E">
      <w:pPr>
        <w:spacing w:after="0"/>
        <w:jc w:val="both"/>
        <w:rPr>
          <w:rFonts w:ascii="Arial" w:hAnsi="Arial" w:cs="Arial"/>
          <w:b/>
          <w:bCs/>
        </w:rPr>
      </w:pPr>
    </w:p>
    <w:p w14:paraId="149649D4" w14:textId="77777777" w:rsidR="0042514E" w:rsidRPr="0042514E" w:rsidRDefault="0042514E" w:rsidP="0042514E">
      <w:pPr>
        <w:spacing w:after="0"/>
        <w:jc w:val="both"/>
        <w:rPr>
          <w:rFonts w:ascii="Arial" w:hAnsi="Arial" w:cs="Arial"/>
        </w:rPr>
      </w:pPr>
      <w:r w:rsidRPr="0042514E">
        <w:rPr>
          <w:rFonts w:ascii="Arial" w:hAnsi="Arial" w:cs="Arial"/>
        </w:rPr>
        <w:t xml:space="preserve">La Ley Reformatoria a la Ley de Régimen Tributario Interno (en adelante LRTI),  modificó los artículos 62 y 63 </w:t>
      </w:r>
      <w:r w:rsidRPr="0042514E">
        <w:rPr>
          <w:rFonts w:ascii="Arial" w:hAnsi="Arial" w:cs="Arial"/>
          <w:i/>
          <w:iCs/>
        </w:rPr>
        <w:t>ibidem</w:t>
      </w:r>
      <w:r w:rsidRPr="0042514E">
        <w:rPr>
          <w:rFonts w:ascii="Arial" w:hAnsi="Arial" w:cs="Arial"/>
        </w:rPr>
        <w:t>, en cuanto declara a los Gobiernos Autónomos Descentralizados (en adelante GAD) como AGENTES DE RETENCIÓN del impuesto al valor agregado (en adelante IVA) de la siguiente forma:</w:t>
      </w:r>
    </w:p>
    <w:p w14:paraId="649B01C3" w14:textId="77777777" w:rsidR="0042514E" w:rsidRPr="0042514E" w:rsidRDefault="0042514E" w:rsidP="0042514E">
      <w:pPr>
        <w:spacing w:after="0"/>
        <w:jc w:val="both"/>
        <w:rPr>
          <w:rFonts w:ascii="Arial" w:hAnsi="Arial" w:cs="Arial"/>
        </w:rPr>
      </w:pPr>
    </w:p>
    <w:p w14:paraId="299F7513" w14:textId="77777777" w:rsidR="0042514E" w:rsidRPr="0042514E" w:rsidRDefault="0042514E" w:rsidP="0042514E">
      <w:pPr>
        <w:spacing w:after="0"/>
        <w:ind w:left="708" w:firstLine="45"/>
        <w:jc w:val="both"/>
        <w:rPr>
          <w:rFonts w:ascii="Arial" w:hAnsi="Arial" w:cs="Arial"/>
          <w:i/>
          <w:iCs/>
          <w:color w:val="000000"/>
          <w:shd w:val="clear" w:color="auto" w:fill="FFFFFF"/>
        </w:rPr>
      </w:pPr>
      <w:r w:rsidRPr="0042514E">
        <w:rPr>
          <w:rFonts w:ascii="Arial" w:hAnsi="Arial" w:cs="Arial"/>
          <w:i/>
          <w:iCs/>
          <w:color w:val="000000"/>
          <w:shd w:val="clear" w:color="auto" w:fill="FFFFFF"/>
        </w:rPr>
        <w:t>“Art. 62.- Sujeto activo. - El sujeto activo del impuesto al valor agregado es el Estado. Lo administrará el Servicio de Rentas Internas (SRI).</w:t>
      </w:r>
      <w:r w:rsidRPr="0042514E">
        <w:rPr>
          <w:rFonts w:ascii="Arial" w:hAnsi="Arial" w:cs="Arial"/>
          <w:i/>
          <w:iCs/>
          <w:color w:val="000000"/>
        </w:rPr>
        <w:br/>
      </w:r>
      <w:r w:rsidRPr="0042514E">
        <w:rPr>
          <w:rFonts w:ascii="Arial" w:hAnsi="Arial" w:cs="Arial"/>
          <w:i/>
          <w:iCs/>
          <w:color w:val="000000"/>
        </w:rPr>
        <w:lastRenderedPageBreak/>
        <w:br/>
      </w:r>
      <w:r w:rsidRPr="0042514E">
        <w:rPr>
          <w:rFonts w:ascii="Arial" w:hAnsi="Arial" w:cs="Arial"/>
          <w:i/>
          <w:iCs/>
          <w:color w:val="000000"/>
          <w:shd w:val="clear" w:color="auto" w:fill="FFFFFF"/>
        </w:rPr>
        <w:t>El 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w:t>
      </w:r>
    </w:p>
    <w:p w14:paraId="655B2E92" w14:textId="77777777" w:rsidR="0042514E" w:rsidRPr="0042514E" w:rsidRDefault="0042514E" w:rsidP="0042514E">
      <w:pPr>
        <w:spacing w:after="0"/>
        <w:ind w:left="708" w:firstLine="45"/>
        <w:jc w:val="both"/>
        <w:rPr>
          <w:rFonts w:ascii="Arial" w:hAnsi="Arial" w:cs="Arial"/>
          <w:color w:val="000000"/>
          <w:shd w:val="clear" w:color="auto" w:fill="FFFFFF"/>
        </w:rPr>
      </w:pPr>
      <w:r w:rsidRPr="0042514E">
        <w:rPr>
          <w:rFonts w:ascii="Arial" w:hAnsi="Arial" w:cs="Arial"/>
          <w:i/>
          <w:iCs/>
          <w:color w:val="000000"/>
        </w:rPr>
        <w:br/>
      </w:r>
      <w:r w:rsidRPr="0042514E">
        <w:rPr>
          <w:rFonts w:ascii="Arial" w:hAnsi="Arial" w:cs="Arial"/>
          <w:b/>
          <w:bCs/>
          <w:i/>
          <w:iCs/>
          <w:color w:val="000000"/>
          <w:u w:val="single"/>
          <w:shd w:val="clear" w:color="auto" w:fill="FFFFFF"/>
        </w:rPr>
        <w:t xml:space="preserve">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w:t>
      </w:r>
      <w:r w:rsidRPr="0042514E">
        <w:rPr>
          <w:rFonts w:ascii="Arial" w:hAnsi="Arial" w:cs="Arial"/>
          <w:color w:val="000000"/>
          <w:shd w:val="clear" w:color="auto" w:fill="FFFFFF"/>
        </w:rPr>
        <w:t>(énfasis agregado).</w:t>
      </w:r>
    </w:p>
    <w:p w14:paraId="76167A9E" w14:textId="77777777" w:rsidR="0042514E" w:rsidRPr="0042514E" w:rsidRDefault="0042514E" w:rsidP="0042514E">
      <w:pPr>
        <w:spacing w:after="0"/>
        <w:jc w:val="both"/>
        <w:rPr>
          <w:rFonts w:ascii="Arial" w:hAnsi="Arial" w:cs="Arial"/>
        </w:rPr>
      </w:pPr>
    </w:p>
    <w:p w14:paraId="576AE899" w14:textId="77777777" w:rsidR="0042514E" w:rsidRPr="0042514E" w:rsidRDefault="0042514E" w:rsidP="0042514E">
      <w:pPr>
        <w:spacing w:after="0"/>
        <w:jc w:val="both"/>
        <w:rPr>
          <w:rFonts w:ascii="Arial" w:hAnsi="Arial" w:cs="Arial"/>
        </w:rPr>
      </w:pPr>
    </w:p>
    <w:p w14:paraId="3B6A1052" w14:textId="77777777" w:rsidR="0042514E" w:rsidRPr="0042514E" w:rsidRDefault="0042514E" w:rsidP="0042514E">
      <w:pPr>
        <w:spacing w:after="0"/>
        <w:ind w:firstLine="708"/>
        <w:jc w:val="both"/>
        <w:rPr>
          <w:rFonts w:ascii="Arial" w:hAnsi="Arial" w:cs="Arial"/>
          <w:i/>
          <w:iCs/>
        </w:rPr>
      </w:pPr>
      <w:r w:rsidRPr="0042514E">
        <w:rPr>
          <w:rFonts w:ascii="Arial" w:hAnsi="Arial" w:cs="Arial"/>
          <w:i/>
          <w:iCs/>
        </w:rPr>
        <w:t>“Art. 63.- Sujetos pasivos.- Son sujetos pasivos del IVA:</w:t>
      </w:r>
    </w:p>
    <w:p w14:paraId="6F00F25A" w14:textId="77777777" w:rsidR="0042514E" w:rsidRPr="0042514E" w:rsidRDefault="0042514E" w:rsidP="0042514E">
      <w:pPr>
        <w:spacing w:after="0"/>
        <w:ind w:firstLine="708"/>
        <w:jc w:val="both"/>
        <w:rPr>
          <w:rFonts w:ascii="Arial" w:hAnsi="Arial" w:cs="Arial"/>
          <w:i/>
          <w:iCs/>
        </w:rPr>
      </w:pPr>
    </w:p>
    <w:p w14:paraId="125E5B5D" w14:textId="77777777" w:rsidR="0042514E" w:rsidRPr="0042514E" w:rsidRDefault="0042514E" w:rsidP="0042514E">
      <w:pPr>
        <w:spacing w:after="0"/>
        <w:ind w:firstLine="708"/>
        <w:jc w:val="both"/>
        <w:rPr>
          <w:rFonts w:ascii="Arial" w:hAnsi="Arial" w:cs="Arial"/>
          <w:i/>
          <w:iCs/>
        </w:rPr>
      </w:pPr>
      <w:r w:rsidRPr="0042514E">
        <w:rPr>
          <w:rFonts w:ascii="Arial" w:hAnsi="Arial" w:cs="Arial"/>
          <w:i/>
          <w:iCs/>
        </w:rPr>
        <w:t>(…)</w:t>
      </w:r>
    </w:p>
    <w:p w14:paraId="48E3AB38" w14:textId="77777777" w:rsidR="0042514E" w:rsidRPr="0042514E" w:rsidRDefault="0042514E" w:rsidP="0042514E">
      <w:pPr>
        <w:spacing w:after="0"/>
        <w:jc w:val="both"/>
        <w:rPr>
          <w:rFonts w:ascii="Arial" w:hAnsi="Arial" w:cs="Arial"/>
          <w:i/>
          <w:iCs/>
        </w:rPr>
      </w:pPr>
    </w:p>
    <w:p w14:paraId="612C522B"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w:t>
      </w:r>
    </w:p>
    <w:p w14:paraId="7C5918C1" w14:textId="77777777" w:rsidR="0042514E" w:rsidRPr="0042514E" w:rsidRDefault="0042514E" w:rsidP="0042514E">
      <w:pPr>
        <w:spacing w:after="0"/>
        <w:jc w:val="both"/>
        <w:rPr>
          <w:rFonts w:ascii="Arial" w:hAnsi="Arial" w:cs="Arial"/>
          <w:i/>
          <w:iCs/>
        </w:rPr>
      </w:pPr>
    </w:p>
    <w:p w14:paraId="01179BDA"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agentes de retención del IVA estarán sujetos a las obligaciones y sanciones establecidas para los agentes de retención del Impuesto a la Renta.</w:t>
      </w:r>
    </w:p>
    <w:p w14:paraId="01C2B7DE" w14:textId="77777777" w:rsidR="0042514E" w:rsidRPr="0042514E" w:rsidRDefault="0042514E" w:rsidP="0042514E">
      <w:pPr>
        <w:spacing w:after="0"/>
        <w:jc w:val="both"/>
        <w:rPr>
          <w:rFonts w:ascii="Arial" w:hAnsi="Arial" w:cs="Arial"/>
          <w:i/>
          <w:iCs/>
        </w:rPr>
      </w:pPr>
    </w:p>
    <w:p w14:paraId="26145F92"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establecimientos que transfieran bienes muebles corporales y presten servicios cuyos pagos se realicen con tarjetas de crédito, están obligados a desagregar el IVA en los comprobantes de venta o documentos equivalentes que entreguen al cliente, caso contrario las casas emisoras de tarjetas de crédito no tramitarán los comprobantes y serán devueltos al establecimiento.</w:t>
      </w:r>
    </w:p>
    <w:p w14:paraId="76A3318C" w14:textId="77777777" w:rsidR="0042514E" w:rsidRPr="0042514E" w:rsidRDefault="0042514E" w:rsidP="0042514E">
      <w:pPr>
        <w:spacing w:after="0"/>
        <w:jc w:val="both"/>
        <w:rPr>
          <w:rFonts w:ascii="Arial" w:hAnsi="Arial" w:cs="Arial"/>
        </w:rPr>
      </w:pPr>
    </w:p>
    <w:p w14:paraId="6DB0C0AE" w14:textId="77777777" w:rsidR="0042514E" w:rsidRPr="0042514E" w:rsidRDefault="0042514E" w:rsidP="0042514E">
      <w:pPr>
        <w:spacing w:after="0"/>
        <w:ind w:left="708"/>
        <w:jc w:val="both"/>
        <w:rPr>
          <w:rFonts w:ascii="Arial" w:hAnsi="Arial" w:cs="Arial"/>
        </w:rPr>
      </w:pPr>
      <w:r w:rsidRPr="0042514E">
        <w:rPr>
          <w:rFonts w:ascii="Arial" w:hAnsi="Arial" w:cs="Arial"/>
          <w:b/>
          <w:bCs/>
          <w:i/>
          <w:iCs/>
          <w:u w:val="single"/>
        </w:rPr>
        <w:t xml:space="preserve">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w:t>
      </w:r>
      <w:r w:rsidRPr="0042514E">
        <w:rPr>
          <w:rFonts w:ascii="Arial" w:hAnsi="Arial" w:cs="Arial"/>
          <w:b/>
          <w:bCs/>
          <w:i/>
          <w:iCs/>
          <w:u w:val="single"/>
        </w:rPr>
        <w:lastRenderedPageBreak/>
        <w:t xml:space="preserve">han sido depositados en la cuenta del Servicio de Rentas Internas para mantener el respectivo registro contable”. </w:t>
      </w:r>
      <w:r w:rsidRPr="0042514E">
        <w:rPr>
          <w:rFonts w:ascii="Arial" w:hAnsi="Arial" w:cs="Arial"/>
        </w:rPr>
        <w:t>(énfasis agregado)</w:t>
      </w:r>
    </w:p>
    <w:p w14:paraId="30DCBC56" w14:textId="77777777" w:rsidR="0042514E" w:rsidRPr="0042514E" w:rsidRDefault="0042514E" w:rsidP="0042514E">
      <w:pPr>
        <w:spacing w:after="0"/>
        <w:jc w:val="both"/>
        <w:rPr>
          <w:rFonts w:ascii="Arial" w:hAnsi="Arial" w:cs="Arial"/>
        </w:rPr>
      </w:pPr>
    </w:p>
    <w:p w14:paraId="1F320317" w14:textId="77777777" w:rsidR="0042514E" w:rsidRPr="0042514E" w:rsidRDefault="0042514E" w:rsidP="0042514E">
      <w:pPr>
        <w:spacing w:after="0"/>
        <w:jc w:val="both"/>
        <w:rPr>
          <w:rFonts w:ascii="Arial" w:hAnsi="Arial" w:cs="Arial"/>
        </w:rPr>
      </w:pPr>
      <w:r w:rsidRPr="0042514E">
        <w:rPr>
          <w:rFonts w:ascii="Arial" w:hAnsi="Arial" w:cs="Arial"/>
        </w:rPr>
        <w:t>Ahora bien, el problema que se suscita es que por la redacción de estos artículos el SRI emitió la resolución Nro. NAC-DGERCGC21-0000037 de fecha 31 de julio del presente año, y que menciona lo siguiente:</w:t>
      </w:r>
    </w:p>
    <w:p w14:paraId="5CAD46A5" w14:textId="77777777" w:rsidR="0042514E" w:rsidRPr="0042514E" w:rsidRDefault="0042514E" w:rsidP="0042514E">
      <w:pPr>
        <w:spacing w:line="360" w:lineRule="auto"/>
        <w:jc w:val="both"/>
        <w:rPr>
          <w:rFonts w:ascii="Arial" w:hAnsi="Arial" w:cs="Arial"/>
          <w:bCs/>
        </w:rPr>
      </w:pPr>
    </w:p>
    <w:p w14:paraId="7E7C181B" w14:textId="77777777" w:rsidR="0042514E" w:rsidRPr="0042514E" w:rsidRDefault="0042514E" w:rsidP="0042514E">
      <w:pPr>
        <w:spacing w:line="360" w:lineRule="auto"/>
        <w:jc w:val="both"/>
        <w:rPr>
          <w:rFonts w:ascii="Arial" w:hAnsi="Arial" w:cs="Arial"/>
          <w:bCs/>
        </w:rPr>
      </w:pPr>
      <w:r w:rsidRPr="0042514E">
        <w:rPr>
          <w:rFonts w:ascii="Arial" w:hAnsi="Arial" w:cs="Arial"/>
          <w:bCs/>
        </w:rPr>
        <w:t>Disposición Reformatoria Única:</w:t>
      </w:r>
    </w:p>
    <w:p w14:paraId="79B5C0C9" w14:textId="77777777" w:rsidR="0042514E" w:rsidRPr="0042514E" w:rsidRDefault="0042514E" w:rsidP="0042514E">
      <w:pPr>
        <w:spacing w:line="360" w:lineRule="auto"/>
        <w:ind w:left="720"/>
        <w:jc w:val="both"/>
        <w:rPr>
          <w:rFonts w:ascii="Arial" w:hAnsi="Arial" w:cs="Arial"/>
          <w:bCs/>
          <w:i/>
          <w:iCs/>
        </w:rPr>
      </w:pPr>
      <w:r w:rsidRPr="0042514E">
        <w:rPr>
          <w:rFonts w:ascii="Arial" w:hAnsi="Arial" w:cs="Arial"/>
          <w:bCs/>
          <w:i/>
          <w:iCs/>
        </w:rPr>
        <w:t>“DISPOSICIÓN REFORMATORIA ÚNICA. - A continuación del artículo 12 de la Resolución Nro. NAC-DGERCGC20-00000061, publicada en la Edición Especial del Registro Oficial Nro. 1100 de 30 de septiembre de 2020 y sus reformas, agréguese el siguiente artículo:</w:t>
      </w:r>
    </w:p>
    <w:p w14:paraId="4CB1DE52" w14:textId="77777777" w:rsidR="0042514E" w:rsidRPr="0042514E" w:rsidRDefault="0042514E" w:rsidP="0042514E">
      <w:pPr>
        <w:spacing w:line="360" w:lineRule="auto"/>
        <w:ind w:left="720"/>
        <w:jc w:val="both"/>
        <w:rPr>
          <w:rFonts w:ascii="Arial" w:hAnsi="Arial" w:cs="Arial"/>
        </w:rPr>
      </w:pPr>
      <w:r w:rsidRPr="0042514E">
        <w:rPr>
          <w:rFonts w:ascii="Arial" w:hAnsi="Arial" w:cs="Arial"/>
          <w:bCs/>
          <w:i/>
          <w:iCs/>
        </w:rPr>
        <w:t xml:space="preserve">“Artículo 12.1.- Entidades y organismos del sector público del gobierno central y descentralizado, sus </w:t>
      </w:r>
      <w:r w:rsidRPr="0042514E">
        <w:rPr>
          <w:rFonts w:ascii="Arial" w:hAnsi="Arial" w:cs="Arial"/>
          <w:i/>
          <w:iCs/>
        </w:rPr>
        <w:t>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w:t>
      </w:r>
      <w:r w:rsidRPr="0042514E">
        <w:rPr>
          <w:rFonts w:ascii="Arial" w:hAnsi="Arial" w:cs="Arial"/>
          <w:b/>
          <w:bCs/>
          <w:i/>
          <w:iCs/>
          <w:u w:val="single"/>
        </w:rPr>
        <w:t>, salvo en los casos previstos en los numerales del 2 al 10 del artículo 3 de la presente Resolución</w:t>
      </w:r>
      <w:r w:rsidRPr="0042514E">
        <w:rPr>
          <w:rFonts w:ascii="Arial" w:hAnsi="Arial" w:cs="Arial"/>
          <w:i/>
          <w:iCs/>
        </w:rPr>
        <w:t xml:space="preserve">, o cuando el agente de retención sea un exportador de recursos naturales no renovables”. </w:t>
      </w:r>
      <w:r w:rsidRPr="0042514E">
        <w:rPr>
          <w:rFonts w:ascii="Arial" w:hAnsi="Arial" w:cs="Arial"/>
        </w:rPr>
        <w:t xml:space="preserve">Énfasis agregado. </w:t>
      </w:r>
    </w:p>
    <w:p w14:paraId="5EAAE101" w14:textId="77777777" w:rsidR="0042514E" w:rsidRPr="0042514E" w:rsidRDefault="0042514E" w:rsidP="0042514E">
      <w:pPr>
        <w:spacing w:line="360" w:lineRule="auto"/>
        <w:jc w:val="both"/>
        <w:rPr>
          <w:rFonts w:ascii="Arial" w:hAnsi="Arial" w:cs="Arial"/>
          <w:bCs/>
        </w:rPr>
      </w:pPr>
      <w:r w:rsidRPr="0042514E">
        <w:rPr>
          <w:rFonts w:ascii="Arial" w:hAnsi="Arial" w:cs="Arial"/>
          <w:bCs/>
        </w:rPr>
        <w:t xml:space="preserve">Es decir, que excepto en estos casos los GAD no podrá retener (IVA) a las siguientes instituciones: </w:t>
      </w:r>
    </w:p>
    <w:p w14:paraId="5C86CECF"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“2. Instituciones del Estado.</w:t>
      </w:r>
    </w:p>
    <w:p w14:paraId="3AB8C72C"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3. Empresas públicas reguladas por la Ley Orgánica de Empresas Públicas.</w:t>
      </w:r>
    </w:p>
    <w:p w14:paraId="5DBDB302"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4. Compañías de aviación.</w:t>
      </w:r>
    </w:p>
    <w:p w14:paraId="51892D44"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5. Agencias de viaje, únicamente por el IVA causado por concepto de venta de pasajes aéreos.</w:t>
      </w:r>
    </w:p>
    <w:p w14:paraId="169A65D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6. Centros de distribución, comercializadoras, distribuidores finales y estaciones de servicio que comercialicen combustible, únicamente cuando se refieran a la adquisición de combustible</w:t>
      </w:r>
    </w:p>
    <w:p w14:paraId="3C42B929"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derivado de petróleo.</w:t>
      </w:r>
    </w:p>
    <w:p w14:paraId="66C6269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7. Instituciones del sistema financiero, únicamente respecto a los servicios financieros gravados con tarifa diferente de cero por ciento (0%) de IVA.</w:t>
      </w:r>
    </w:p>
    <w:p w14:paraId="5AC47B99"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lastRenderedPageBreak/>
        <w:t>8. Compañías emisoras de tarjetas de crédito, respecto de los descuentos que por concepto de su comisión efectúen de los pagos que realicen a sus establecimientos afiliados.</w:t>
      </w:r>
    </w:p>
    <w:p w14:paraId="3EC6949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9. Voceadores de periódicos y revistas, y distribuidores de estos productos, únicamente en la adquisición de periódicos y/o revistas.</w:t>
      </w:r>
    </w:p>
    <w:p w14:paraId="63404AC9"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10. Exportadores habituales de bienes y/o servicios calificados como agentes de retención o contribuyentes especiales”.</w:t>
      </w:r>
    </w:p>
    <w:p w14:paraId="3481F59C" w14:textId="77777777" w:rsidR="0042514E" w:rsidRPr="0042514E" w:rsidRDefault="0042514E" w:rsidP="0042514E">
      <w:pPr>
        <w:spacing w:after="0" w:line="360" w:lineRule="auto"/>
        <w:jc w:val="both"/>
        <w:rPr>
          <w:rFonts w:ascii="Arial" w:hAnsi="Arial" w:cs="Arial"/>
        </w:rPr>
      </w:pPr>
    </w:p>
    <w:p w14:paraId="78B82D6C" w14:textId="77777777" w:rsidR="0042514E" w:rsidRPr="0042514E" w:rsidRDefault="0042514E" w:rsidP="0042514E">
      <w:pPr>
        <w:spacing w:after="0" w:line="360" w:lineRule="auto"/>
        <w:jc w:val="both"/>
        <w:rPr>
          <w:rFonts w:ascii="Arial" w:hAnsi="Arial" w:cs="Arial"/>
        </w:rPr>
      </w:pPr>
      <w:r w:rsidRPr="0042514E">
        <w:rPr>
          <w:rFonts w:ascii="Arial" w:hAnsi="Arial" w:cs="Arial"/>
        </w:rPr>
        <w:t>Esta resolución la que reforma a la Nro.</w:t>
      </w:r>
      <w:r w:rsidRPr="0042514E">
        <w:rPr>
          <w:rFonts w:ascii="Arial" w:hAnsi="Arial" w:cs="Arial"/>
          <w:bCs/>
        </w:rPr>
        <w:t xml:space="preserve">NAC-DGERCGC20-00000061, publicada en la Edición Especial del Registro Oficial Nro. 1100 de 30 de septiembre de 2020, </w:t>
      </w:r>
      <w:r w:rsidRPr="0042514E">
        <w:rPr>
          <w:rFonts w:ascii="Arial" w:hAnsi="Arial" w:cs="Arial"/>
        </w:rPr>
        <w:t>está basada, según se desprende en sus considerandos en los artículos 147 y 148 del Reglamento a la LRTI:</w:t>
      </w:r>
    </w:p>
    <w:p w14:paraId="4CB37A93" w14:textId="77777777" w:rsidR="0042514E" w:rsidRPr="0042514E" w:rsidRDefault="0042514E" w:rsidP="0042514E">
      <w:pPr>
        <w:spacing w:after="0" w:line="360" w:lineRule="auto"/>
        <w:jc w:val="both"/>
        <w:rPr>
          <w:rFonts w:ascii="Arial" w:hAnsi="Arial" w:cs="Arial"/>
        </w:rPr>
      </w:pPr>
    </w:p>
    <w:p w14:paraId="1C723A70"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b/>
          <w:bCs/>
        </w:rPr>
        <w:t>“A</w:t>
      </w:r>
      <w:r w:rsidRPr="0042514E">
        <w:rPr>
          <w:rFonts w:ascii="Arial" w:hAnsi="Arial" w:cs="Arial"/>
          <w:b/>
          <w:bCs/>
          <w:i/>
          <w:iCs/>
          <w:color w:val="000000"/>
          <w:shd w:val="clear" w:color="auto" w:fill="FFFFFF"/>
        </w:rPr>
        <w:t>rt. 147</w:t>
      </w:r>
      <w:r w:rsidRPr="0042514E">
        <w:rPr>
          <w:rFonts w:ascii="Arial" w:hAnsi="Arial" w:cs="Arial"/>
          <w:i/>
          <w:iCs/>
          <w:color w:val="000000"/>
          <w:shd w:val="clear" w:color="auto" w:fill="FFFFFF"/>
        </w:rPr>
        <w:t>.- Agentes de retención del Impuesto al Valor Agregado. - Serán agentes de retención del Impuesto al Valor Agregado:</w:t>
      </w:r>
    </w:p>
    <w:p w14:paraId="653896C7"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46FD440F"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rFonts w:ascii="Arial" w:hAnsi="Arial" w:cs="Arial"/>
          <w:i/>
          <w:iCs/>
          <w:color w:val="000000"/>
          <w:shd w:val="clear" w:color="auto" w:fill="FFFFFF"/>
        </w:rPr>
        <w:t xml:space="preserve">(…) </w:t>
      </w:r>
      <w:r w:rsidRPr="0042514E">
        <w:rPr>
          <w:rFonts w:ascii="Arial" w:hAnsi="Arial" w:cs="Arial"/>
          <w:i/>
          <w:iCs/>
          <w:color w:val="000000"/>
        </w:rPr>
        <w:br/>
      </w:r>
      <w:r w:rsidRPr="0042514E">
        <w:rPr>
          <w:rFonts w:ascii="Arial" w:hAnsi="Arial" w:cs="Arial"/>
          <w:i/>
          <w:iCs/>
          <w:color w:val="000000"/>
          <w:shd w:val="clear" w:color="auto" w:fill="FFFFFF"/>
        </w:rPr>
        <w:t xml:space="preserve">El Servicio de Rentas Internas, mediante resolución de carácter general, podrá establecer condiciones, límites y términos adicionales para el cumplimiento de las retenciones previstas en este artículo”. </w:t>
      </w:r>
    </w:p>
    <w:p w14:paraId="7D28BF46"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1F3ED9BE" w14:textId="77777777" w:rsidR="0042514E" w:rsidRPr="0042514E" w:rsidRDefault="0042514E" w:rsidP="0042514E">
      <w:pPr>
        <w:spacing w:after="0" w:line="360" w:lineRule="auto"/>
        <w:ind w:firstLine="720"/>
        <w:jc w:val="both"/>
        <w:rPr>
          <w:rFonts w:ascii="Arial" w:hAnsi="Arial" w:cs="Arial"/>
          <w:i/>
          <w:iCs/>
          <w:color w:val="000000"/>
          <w:shd w:val="clear" w:color="auto" w:fill="FFFFFF"/>
        </w:rPr>
      </w:pPr>
      <w:r w:rsidRPr="0042514E">
        <w:rPr>
          <w:rStyle w:val="nrmar"/>
          <w:rFonts w:ascii="Arial" w:hAnsi="Arial" w:cs="Arial"/>
          <w:b/>
          <w:bCs/>
          <w:i/>
          <w:iCs/>
          <w:color w:val="000000"/>
          <w:shd w:val="clear" w:color="auto" w:fill="FFFFFF"/>
        </w:rPr>
        <w:t>Art. 148</w:t>
      </w:r>
      <w:r w:rsidRPr="0042514E">
        <w:rPr>
          <w:rFonts w:ascii="Arial" w:hAnsi="Arial" w:cs="Arial"/>
          <w:i/>
          <w:iCs/>
          <w:color w:val="000000"/>
          <w:shd w:val="clear" w:color="auto" w:fill="FFFFFF"/>
        </w:rPr>
        <w:t>.- Momento de la retención y declaraciones de las retenciones. - </w:t>
      </w:r>
    </w:p>
    <w:p w14:paraId="4934047F"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6B9D57FF" w14:textId="77777777" w:rsidR="0042514E" w:rsidRPr="0042514E" w:rsidRDefault="0042514E" w:rsidP="0042514E">
      <w:pPr>
        <w:spacing w:after="0" w:line="360" w:lineRule="auto"/>
        <w:ind w:firstLine="720"/>
        <w:jc w:val="both"/>
        <w:rPr>
          <w:rFonts w:ascii="Arial" w:hAnsi="Arial" w:cs="Arial"/>
          <w:i/>
          <w:iCs/>
          <w:color w:val="000000"/>
          <w:shd w:val="clear" w:color="auto" w:fill="FFFFFF"/>
        </w:rPr>
      </w:pPr>
      <w:r w:rsidRPr="0042514E">
        <w:rPr>
          <w:rFonts w:ascii="Arial" w:hAnsi="Arial" w:cs="Arial"/>
          <w:i/>
          <w:iCs/>
          <w:color w:val="000000"/>
          <w:shd w:val="clear" w:color="auto" w:fill="FFFFFF"/>
        </w:rPr>
        <w:t>(…)</w:t>
      </w:r>
    </w:p>
    <w:p w14:paraId="0E45C601"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rFonts w:ascii="Arial" w:hAnsi="Arial" w:cs="Arial"/>
          <w:i/>
          <w:iCs/>
          <w:color w:val="000000"/>
          <w:shd w:val="clear" w:color="auto" w:fill="FFFFFF"/>
        </w:rPr>
        <w:t>La Administración Tributaria, mediante resolución, podrá establecer otros grupos o segmentos de contribuyentes a los que no se les aplique retención de IVA”.</w:t>
      </w:r>
    </w:p>
    <w:p w14:paraId="25C9CB4A"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49888ED4" w14:textId="224908E0" w:rsidR="0042514E" w:rsidRPr="0042514E" w:rsidRDefault="0042514E" w:rsidP="0042514E">
      <w:pPr>
        <w:spacing w:after="0" w:line="360" w:lineRule="auto"/>
        <w:jc w:val="both"/>
        <w:rPr>
          <w:rFonts w:ascii="Arial" w:hAnsi="Arial" w:cs="Arial"/>
        </w:rPr>
      </w:pPr>
      <w:r w:rsidRPr="0042514E">
        <w:rPr>
          <w:rFonts w:ascii="Arial" w:hAnsi="Arial" w:cs="Arial"/>
        </w:rPr>
        <w:t>Como podemos observar el SRI, en cumplimiento de sus facultades normativas ha realizado mediante acto reglamentario, las excepciones de retenciones respecto a otros entes, en este sentido se vuelve inexorable, aclarar esta problemática, para que la redacción de estos artículos quede prolija, y no existan problemas posteriores.</w:t>
      </w:r>
    </w:p>
    <w:p w14:paraId="66E6487F" w14:textId="77777777" w:rsidR="0042514E" w:rsidRPr="0042514E" w:rsidRDefault="0042514E" w:rsidP="0042514E">
      <w:pPr>
        <w:spacing w:after="0" w:line="360" w:lineRule="auto"/>
        <w:jc w:val="both"/>
        <w:rPr>
          <w:rFonts w:ascii="Arial" w:hAnsi="Arial" w:cs="Arial"/>
        </w:rPr>
      </w:pPr>
    </w:p>
    <w:p w14:paraId="16DC36A8" w14:textId="4D1845ED" w:rsidR="0042514E" w:rsidRDefault="0042514E" w:rsidP="0042514E">
      <w:pPr>
        <w:spacing w:after="0" w:line="360" w:lineRule="auto"/>
        <w:jc w:val="center"/>
        <w:rPr>
          <w:rFonts w:ascii="Arial" w:hAnsi="Arial" w:cs="Arial"/>
        </w:rPr>
      </w:pPr>
    </w:p>
    <w:p w14:paraId="373F6EDD" w14:textId="178CDEFE" w:rsidR="0044393A" w:rsidRDefault="0044393A" w:rsidP="0042514E">
      <w:pPr>
        <w:spacing w:after="0" w:line="360" w:lineRule="auto"/>
        <w:jc w:val="center"/>
        <w:rPr>
          <w:rFonts w:ascii="Arial" w:hAnsi="Arial" w:cs="Arial"/>
        </w:rPr>
      </w:pPr>
    </w:p>
    <w:p w14:paraId="12536D6C" w14:textId="25999616" w:rsidR="0044393A" w:rsidRDefault="0044393A" w:rsidP="0042514E">
      <w:pPr>
        <w:spacing w:after="0" w:line="360" w:lineRule="auto"/>
        <w:jc w:val="center"/>
        <w:rPr>
          <w:rFonts w:ascii="Arial" w:hAnsi="Arial" w:cs="Arial"/>
        </w:rPr>
      </w:pPr>
    </w:p>
    <w:p w14:paraId="101F9945" w14:textId="2747A64A" w:rsidR="0044393A" w:rsidRDefault="0044393A" w:rsidP="0042514E">
      <w:pPr>
        <w:spacing w:after="0" w:line="360" w:lineRule="auto"/>
        <w:jc w:val="center"/>
        <w:rPr>
          <w:rFonts w:ascii="Arial" w:hAnsi="Arial" w:cs="Arial"/>
        </w:rPr>
      </w:pPr>
    </w:p>
    <w:p w14:paraId="02C31D88" w14:textId="77777777" w:rsidR="0044393A" w:rsidRPr="0042514E" w:rsidRDefault="0044393A" w:rsidP="0042514E">
      <w:pPr>
        <w:spacing w:after="0" w:line="360" w:lineRule="auto"/>
        <w:jc w:val="center"/>
        <w:rPr>
          <w:rFonts w:ascii="Arial" w:hAnsi="Arial" w:cs="Arial"/>
        </w:rPr>
      </w:pPr>
    </w:p>
    <w:p w14:paraId="19298421" w14:textId="77777777" w:rsidR="0042514E" w:rsidRPr="0042514E" w:rsidRDefault="0042514E" w:rsidP="0042514E">
      <w:pPr>
        <w:spacing w:after="0" w:line="360" w:lineRule="auto"/>
        <w:jc w:val="center"/>
        <w:rPr>
          <w:rFonts w:ascii="Arial" w:hAnsi="Arial" w:cs="Arial"/>
          <w:b/>
          <w:bCs/>
        </w:rPr>
      </w:pPr>
      <w:r w:rsidRPr="0042514E">
        <w:rPr>
          <w:rFonts w:ascii="Arial" w:hAnsi="Arial" w:cs="Arial"/>
          <w:b/>
          <w:bCs/>
        </w:rPr>
        <w:lastRenderedPageBreak/>
        <w:t>III</w:t>
      </w:r>
    </w:p>
    <w:p w14:paraId="68BEA932" w14:textId="77777777" w:rsidR="0042514E" w:rsidRPr="0042514E" w:rsidRDefault="0042514E" w:rsidP="0042514E">
      <w:pPr>
        <w:spacing w:after="0" w:line="360" w:lineRule="auto"/>
        <w:jc w:val="center"/>
        <w:rPr>
          <w:rFonts w:ascii="Arial" w:hAnsi="Arial" w:cs="Arial"/>
          <w:b/>
          <w:bCs/>
        </w:rPr>
      </w:pPr>
      <w:r w:rsidRPr="0042514E">
        <w:rPr>
          <w:rFonts w:ascii="Arial" w:hAnsi="Arial" w:cs="Arial"/>
          <w:b/>
          <w:bCs/>
        </w:rPr>
        <w:t>PROBLEMA</w:t>
      </w:r>
    </w:p>
    <w:p w14:paraId="756DE0BE" w14:textId="77777777" w:rsidR="0042514E" w:rsidRPr="0042514E" w:rsidRDefault="0042514E" w:rsidP="0042514E">
      <w:pPr>
        <w:spacing w:after="0" w:line="360" w:lineRule="auto"/>
        <w:jc w:val="both"/>
        <w:rPr>
          <w:rFonts w:ascii="Arial" w:hAnsi="Arial" w:cs="Arial"/>
        </w:rPr>
      </w:pPr>
    </w:p>
    <w:p w14:paraId="1353C35A" w14:textId="77777777" w:rsidR="0042514E" w:rsidRPr="0042514E" w:rsidRDefault="0042514E" w:rsidP="0042514E">
      <w:pPr>
        <w:spacing w:after="0" w:line="360" w:lineRule="auto"/>
        <w:jc w:val="both"/>
        <w:rPr>
          <w:rFonts w:ascii="Arial" w:hAnsi="Arial" w:cs="Arial"/>
        </w:rPr>
      </w:pPr>
      <w:r w:rsidRPr="0042514E">
        <w:rPr>
          <w:rFonts w:ascii="Arial" w:hAnsi="Arial" w:cs="Arial"/>
        </w:rPr>
        <w:t>La situación jurídica de ambigüedad que se da con los dos artículos será dilucidada a continuación:</w:t>
      </w:r>
    </w:p>
    <w:p w14:paraId="0F79FD95" w14:textId="77777777" w:rsidR="0042514E" w:rsidRPr="0042514E" w:rsidRDefault="0042514E" w:rsidP="0042514E">
      <w:pPr>
        <w:spacing w:after="0" w:line="360" w:lineRule="auto"/>
        <w:jc w:val="both"/>
        <w:rPr>
          <w:rFonts w:ascii="Arial" w:hAnsi="Arial" w:cs="Arial"/>
        </w:rPr>
      </w:pPr>
    </w:p>
    <w:p w14:paraId="56020535" w14:textId="23CCA3E1" w:rsidR="0042514E" w:rsidRPr="0042514E" w:rsidRDefault="0042514E" w:rsidP="0042514E">
      <w:pPr>
        <w:spacing w:after="0" w:line="360" w:lineRule="auto"/>
        <w:jc w:val="both"/>
        <w:rPr>
          <w:rFonts w:ascii="Arial" w:hAnsi="Arial" w:cs="Arial"/>
          <w:iCs/>
        </w:rPr>
      </w:pPr>
      <w:r w:rsidRPr="0042514E">
        <w:rPr>
          <w:rFonts w:ascii="Arial" w:hAnsi="Arial" w:cs="Arial"/>
        </w:rPr>
        <w:t xml:space="preserve">1.- En el Art. 62 </w:t>
      </w:r>
      <w:r w:rsidR="00AF2C1D">
        <w:rPr>
          <w:rFonts w:ascii="Arial" w:hAnsi="Arial" w:cs="Arial"/>
        </w:rPr>
        <w:t>tercer inciso</w:t>
      </w:r>
      <w:r w:rsidRPr="0042514E">
        <w:rPr>
          <w:rFonts w:ascii="Arial" w:hAnsi="Arial" w:cs="Arial"/>
        </w:rPr>
        <w:t xml:space="preserve">: el artículo empieza con el adverbio: </w:t>
      </w:r>
      <w:r w:rsidRPr="0042514E">
        <w:rPr>
          <w:rFonts w:ascii="Arial" w:hAnsi="Arial" w:cs="Arial"/>
          <w:i/>
        </w:rPr>
        <w:t xml:space="preserve">“excepcionalmente”, </w:t>
      </w:r>
      <w:r w:rsidRPr="0042514E">
        <w:rPr>
          <w:rFonts w:ascii="Arial" w:hAnsi="Arial" w:cs="Arial"/>
          <w:iCs/>
        </w:rPr>
        <w:t>que hace referencia al adjetivo excepcional, que, según la Real Academia de la Lengua Española, significa: excepción a la regla, o que se aparta de lo ordinario, o que ocurre rara vez, por lo que al incorporar esta palabra en el artículo da entender que efectivamente solamente cuando sea extraordinario los GAD y demás instituciones podrán retener el IVA.</w:t>
      </w:r>
    </w:p>
    <w:p w14:paraId="268EB86B" w14:textId="77777777" w:rsidR="0042514E" w:rsidRPr="0042514E" w:rsidRDefault="0042514E" w:rsidP="0042514E">
      <w:pPr>
        <w:spacing w:after="0" w:line="360" w:lineRule="auto"/>
        <w:jc w:val="both"/>
        <w:rPr>
          <w:rFonts w:ascii="Arial" w:hAnsi="Arial" w:cs="Arial"/>
          <w:iCs/>
        </w:rPr>
      </w:pPr>
    </w:p>
    <w:p w14:paraId="4C45A581" w14:textId="77777777" w:rsidR="0042514E" w:rsidRPr="0042514E" w:rsidRDefault="0042514E" w:rsidP="0042514E">
      <w:pPr>
        <w:spacing w:after="0" w:line="360" w:lineRule="auto"/>
        <w:jc w:val="both"/>
        <w:rPr>
          <w:rFonts w:ascii="Arial" w:hAnsi="Arial" w:cs="Arial"/>
          <w:iCs/>
        </w:rPr>
      </w:pPr>
      <w:r w:rsidRPr="0042514E">
        <w:rPr>
          <w:rFonts w:ascii="Arial" w:hAnsi="Arial" w:cs="Arial"/>
          <w:iCs/>
        </w:rPr>
        <w:t>2.- En el Art. 63 último inciso: empieza con el adverbio “</w:t>
      </w:r>
      <w:r w:rsidRPr="0042514E">
        <w:rPr>
          <w:rFonts w:ascii="Arial" w:hAnsi="Arial" w:cs="Arial"/>
          <w:i/>
        </w:rPr>
        <w:t xml:space="preserve">cuando”, </w:t>
      </w:r>
      <w:r w:rsidRPr="0042514E">
        <w:rPr>
          <w:rFonts w:ascii="Arial" w:hAnsi="Arial" w:cs="Arial"/>
          <w:iCs/>
        </w:rPr>
        <w:t>que según la Real Academia de la Lengua Española implica que es referido al tiempo, con antecedente y más frecuentemente en relativas explicativas, por lo que también se entendería como una excepcionalidad.</w:t>
      </w:r>
    </w:p>
    <w:p w14:paraId="26EB2E64" w14:textId="77777777" w:rsidR="0042514E" w:rsidRPr="0042514E" w:rsidRDefault="0042514E" w:rsidP="0042514E">
      <w:pPr>
        <w:spacing w:after="0" w:line="360" w:lineRule="auto"/>
        <w:jc w:val="center"/>
        <w:rPr>
          <w:rFonts w:ascii="Arial" w:hAnsi="Arial" w:cs="Arial"/>
          <w:iCs/>
        </w:rPr>
      </w:pPr>
    </w:p>
    <w:p w14:paraId="275F74B7"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IV</w:t>
      </w:r>
    </w:p>
    <w:p w14:paraId="140D67C6" w14:textId="2ED0B871"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 xml:space="preserve">PROPUESTA DE </w:t>
      </w:r>
      <w:r w:rsidR="00896D35">
        <w:rPr>
          <w:rFonts w:ascii="Arial" w:hAnsi="Arial" w:cs="Arial"/>
          <w:b/>
          <w:bCs/>
          <w:iCs/>
        </w:rPr>
        <w:t xml:space="preserve">REFORMA </w:t>
      </w:r>
    </w:p>
    <w:p w14:paraId="6152E1DB" w14:textId="77777777" w:rsidR="0042514E" w:rsidRPr="0042514E" w:rsidRDefault="0042514E" w:rsidP="0042514E">
      <w:pPr>
        <w:spacing w:after="0" w:line="360" w:lineRule="auto"/>
        <w:jc w:val="both"/>
        <w:rPr>
          <w:rFonts w:ascii="Arial" w:hAnsi="Arial" w:cs="Arial"/>
          <w:iCs/>
        </w:rPr>
      </w:pPr>
    </w:p>
    <w:p w14:paraId="4D8CB3CA" w14:textId="64C2AFD7" w:rsidR="009C2021" w:rsidRDefault="009C2021" w:rsidP="009C2021">
      <w:pPr>
        <w:spacing w:line="360" w:lineRule="auto"/>
        <w:jc w:val="both"/>
        <w:rPr>
          <w:rFonts w:ascii="Arial" w:hAnsi="Arial" w:cs="Arial"/>
          <w:bCs/>
        </w:rPr>
      </w:pPr>
      <w:r>
        <w:rPr>
          <w:rFonts w:ascii="Arial" w:hAnsi="Arial" w:cs="Arial"/>
          <w:bCs/>
        </w:rPr>
        <w:t xml:space="preserve">Conforme a los antecedentes expuestos, se propone que se incluya, en la </w:t>
      </w:r>
      <w:r w:rsidRPr="007B29B6">
        <w:rPr>
          <w:rFonts w:ascii="Arial" w:hAnsi="Arial" w:cs="Arial"/>
          <w:bCs/>
        </w:rPr>
        <w:t>Ley Orgánica para el Desarrollo Económico y Sostenibilidad Fiscal tras la Pandemia Covid-19</w:t>
      </w:r>
      <w:r>
        <w:rPr>
          <w:rFonts w:ascii="Arial" w:hAnsi="Arial" w:cs="Arial"/>
          <w:bCs/>
        </w:rPr>
        <w:t xml:space="preserve">, </w:t>
      </w:r>
      <w:r>
        <w:rPr>
          <w:rFonts w:ascii="Arial" w:hAnsi="Arial" w:cs="Arial"/>
          <w:bCs/>
        </w:rPr>
        <w:t>los siguientes artículos y disposiciones</w:t>
      </w:r>
      <w:r>
        <w:rPr>
          <w:rFonts w:ascii="Arial" w:hAnsi="Arial" w:cs="Arial"/>
          <w:bCs/>
        </w:rPr>
        <w:t>:</w:t>
      </w:r>
    </w:p>
    <w:p w14:paraId="21492B09" w14:textId="77777777" w:rsidR="00CC35AA" w:rsidRDefault="00CC35AA" w:rsidP="00CC35AA">
      <w:pPr>
        <w:spacing w:after="0" w:line="360" w:lineRule="auto"/>
        <w:jc w:val="both"/>
        <w:rPr>
          <w:rFonts w:ascii="Arial" w:hAnsi="Arial" w:cs="Arial"/>
          <w:iCs/>
        </w:rPr>
      </w:pPr>
    </w:p>
    <w:p w14:paraId="26F27F19" w14:textId="1F819908" w:rsidR="0042514E" w:rsidRDefault="00CC35AA" w:rsidP="00CC35AA">
      <w:pPr>
        <w:spacing w:after="0" w:line="360" w:lineRule="auto"/>
        <w:ind w:left="708"/>
        <w:jc w:val="both"/>
        <w:rPr>
          <w:rFonts w:ascii="Arial" w:hAnsi="Arial" w:cs="Arial"/>
          <w:iCs/>
        </w:rPr>
      </w:pPr>
      <w:r w:rsidRPr="00CC35AA">
        <w:rPr>
          <w:rFonts w:ascii="Arial" w:hAnsi="Arial" w:cs="Arial"/>
          <w:b/>
          <w:bCs/>
          <w:iCs/>
        </w:rPr>
        <w:t>Art (…)</w:t>
      </w:r>
      <w:r>
        <w:rPr>
          <w:rFonts w:ascii="Arial" w:hAnsi="Arial" w:cs="Arial"/>
          <w:iCs/>
        </w:rPr>
        <w:t>: Sustitúyase</w:t>
      </w:r>
      <w:r w:rsidR="00896D35">
        <w:rPr>
          <w:rFonts w:ascii="Arial" w:hAnsi="Arial" w:cs="Arial"/>
          <w:iCs/>
        </w:rPr>
        <w:t xml:space="preserve"> el </w:t>
      </w:r>
      <w:r w:rsidR="0044393A">
        <w:rPr>
          <w:rFonts w:ascii="Arial" w:hAnsi="Arial" w:cs="Arial"/>
          <w:iCs/>
        </w:rPr>
        <w:t>tercer</w:t>
      </w:r>
      <w:r w:rsidR="00CD6D69">
        <w:rPr>
          <w:rFonts w:ascii="Arial" w:hAnsi="Arial" w:cs="Arial"/>
          <w:iCs/>
        </w:rPr>
        <w:t xml:space="preserve"> inciso del </w:t>
      </w:r>
      <w:r>
        <w:rPr>
          <w:rFonts w:ascii="Arial" w:hAnsi="Arial" w:cs="Arial"/>
          <w:iCs/>
        </w:rPr>
        <w:t>artículo</w:t>
      </w:r>
      <w:r w:rsidR="00CD6D69">
        <w:rPr>
          <w:rFonts w:ascii="Arial" w:hAnsi="Arial" w:cs="Arial"/>
          <w:iCs/>
        </w:rPr>
        <w:t xml:space="preserve"> 62 de la Ley de Régimen Tributario Interno </w:t>
      </w:r>
      <w:r>
        <w:rPr>
          <w:rFonts w:ascii="Arial" w:hAnsi="Arial" w:cs="Arial"/>
          <w:iCs/>
        </w:rPr>
        <w:t>por</w:t>
      </w:r>
      <w:r w:rsidR="00CD6D69">
        <w:rPr>
          <w:rFonts w:ascii="Arial" w:hAnsi="Arial" w:cs="Arial"/>
          <w:iCs/>
        </w:rPr>
        <w:t xml:space="preserve"> el siguiente texto:</w:t>
      </w:r>
    </w:p>
    <w:p w14:paraId="1D68B3E8" w14:textId="54CA91DD" w:rsidR="00CD6D69" w:rsidRDefault="00CD6D69" w:rsidP="00896D35">
      <w:pPr>
        <w:spacing w:after="0" w:line="360" w:lineRule="auto"/>
        <w:ind w:left="708"/>
        <w:jc w:val="both"/>
        <w:rPr>
          <w:rFonts w:ascii="Arial" w:hAnsi="Arial" w:cs="Arial"/>
          <w:iCs/>
        </w:rPr>
      </w:pPr>
    </w:p>
    <w:p w14:paraId="6998FC2C" w14:textId="13EF2F03" w:rsidR="00CD6D69" w:rsidRPr="00CD6D69" w:rsidRDefault="00CC35AA" w:rsidP="00896D35">
      <w:pPr>
        <w:spacing w:after="0" w:line="360" w:lineRule="auto"/>
        <w:ind w:left="708"/>
        <w:jc w:val="both"/>
        <w:rPr>
          <w:rFonts w:ascii="Arial" w:hAnsi="Arial" w:cs="Arial"/>
        </w:rPr>
      </w:pPr>
      <w:r>
        <w:rPr>
          <w:rFonts w:ascii="Arial" w:hAnsi="Arial" w:cs="Arial"/>
          <w:b/>
          <w:bCs/>
          <w:color w:val="000000"/>
          <w:shd w:val="clear" w:color="auto" w:fill="FFFFFF"/>
        </w:rPr>
        <w:t>“</w:t>
      </w:r>
      <w:r w:rsidR="00CD6D69" w:rsidRPr="00CD6D69">
        <w:rPr>
          <w:rFonts w:ascii="Arial" w:hAnsi="Arial" w:cs="Arial"/>
          <w:b/>
          <w:bCs/>
          <w:color w:val="000000"/>
          <w:shd w:val="clear" w:color="auto" w:fill="FFFFFF"/>
        </w:rPr>
        <w:t>En todos los casos</w:t>
      </w:r>
      <w:r w:rsidR="00CD6D69" w:rsidRPr="00CD6D69">
        <w:rPr>
          <w:rFonts w:ascii="Arial" w:hAnsi="Arial" w:cs="Arial"/>
          <w:color w:val="000000"/>
          <w:shd w:val="clear" w:color="auto" w:fill="FFFFFF"/>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w:t>
      </w:r>
      <w:r w:rsidR="00CD6D69" w:rsidRPr="00CD6D69">
        <w:rPr>
          <w:rFonts w:ascii="Arial" w:hAnsi="Arial" w:cs="Arial"/>
          <w:color w:val="000000"/>
          <w:shd w:val="clear" w:color="auto" w:fill="FFFFFF"/>
        </w:rPr>
        <w:lastRenderedPageBreak/>
        <w:t>universidades y escuelas politécnicas del país, deberán notificar en la declaración y anexos los valores retenidos que no han sido depositados en la cuenta del Servicio de Rentas Internas para mantener el respectivo registro contable</w:t>
      </w:r>
      <w:r w:rsidR="00CD6D69">
        <w:rPr>
          <w:rFonts w:ascii="Arial" w:hAnsi="Arial" w:cs="Arial"/>
          <w:color w:val="000000"/>
          <w:shd w:val="clear" w:color="auto" w:fill="FFFFFF"/>
        </w:rPr>
        <w:t>.</w:t>
      </w:r>
      <w:r>
        <w:rPr>
          <w:rFonts w:ascii="Arial" w:hAnsi="Arial" w:cs="Arial"/>
          <w:color w:val="000000"/>
          <w:shd w:val="clear" w:color="auto" w:fill="FFFFFF"/>
        </w:rPr>
        <w:t>”</w:t>
      </w:r>
      <w:r w:rsidR="009A3DFF">
        <w:rPr>
          <w:rFonts w:ascii="Arial" w:hAnsi="Arial" w:cs="Arial"/>
          <w:color w:val="000000"/>
          <w:shd w:val="clear" w:color="auto" w:fill="FFFFFF"/>
        </w:rPr>
        <w:t xml:space="preserve"> </w:t>
      </w:r>
      <w:r w:rsidR="009A3DFF">
        <w:rPr>
          <w:rFonts w:ascii="Arial" w:hAnsi="Arial" w:cs="Arial"/>
        </w:rPr>
        <w:t>(énfasis agregado)</w:t>
      </w:r>
    </w:p>
    <w:p w14:paraId="5B288330" w14:textId="3C3DB3A9" w:rsidR="00CD6D69" w:rsidRDefault="00CD6D69" w:rsidP="00896D35">
      <w:pPr>
        <w:spacing w:after="0" w:line="360" w:lineRule="auto"/>
        <w:ind w:left="708"/>
        <w:jc w:val="both"/>
        <w:rPr>
          <w:rFonts w:ascii="Arial" w:hAnsi="Arial" w:cs="Arial"/>
          <w:iCs/>
        </w:rPr>
      </w:pPr>
    </w:p>
    <w:p w14:paraId="26223177" w14:textId="583B2BB3" w:rsidR="00CD6D69" w:rsidRDefault="00CC35AA" w:rsidP="00896D35">
      <w:pPr>
        <w:spacing w:after="0" w:line="360" w:lineRule="auto"/>
        <w:ind w:left="708"/>
        <w:jc w:val="both"/>
        <w:rPr>
          <w:rFonts w:ascii="Arial" w:hAnsi="Arial" w:cs="Arial"/>
          <w:iCs/>
        </w:rPr>
      </w:pPr>
      <w:r w:rsidRPr="00CC35AA">
        <w:rPr>
          <w:rFonts w:ascii="Arial" w:hAnsi="Arial" w:cs="Arial"/>
          <w:b/>
          <w:bCs/>
          <w:iCs/>
        </w:rPr>
        <w:t>Art (…)</w:t>
      </w:r>
      <w:r>
        <w:rPr>
          <w:rFonts w:ascii="Arial" w:hAnsi="Arial" w:cs="Arial"/>
          <w:iCs/>
        </w:rPr>
        <w:t xml:space="preserve">: Sustitúyase </w:t>
      </w:r>
      <w:r w:rsidR="00CD6D69">
        <w:rPr>
          <w:rFonts w:ascii="Arial" w:hAnsi="Arial" w:cs="Arial"/>
          <w:iCs/>
        </w:rPr>
        <w:t xml:space="preserve">el último inciso del </w:t>
      </w:r>
      <w:r>
        <w:rPr>
          <w:rFonts w:ascii="Arial" w:hAnsi="Arial" w:cs="Arial"/>
          <w:iCs/>
        </w:rPr>
        <w:t>a</w:t>
      </w:r>
      <w:r w:rsidR="00CD6D69">
        <w:rPr>
          <w:rFonts w:ascii="Arial" w:hAnsi="Arial" w:cs="Arial"/>
          <w:iCs/>
        </w:rPr>
        <w:t xml:space="preserve">rtículo 63 </w:t>
      </w:r>
      <w:r>
        <w:rPr>
          <w:rFonts w:ascii="Arial" w:hAnsi="Arial" w:cs="Arial"/>
          <w:iCs/>
        </w:rPr>
        <w:t xml:space="preserve">de la Ley de Régimen </w:t>
      </w:r>
      <w:r w:rsidR="00995006">
        <w:rPr>
          <w:rFonts w:ascii="Arial" w:hAnsi="Arial" w:cs="Arial"/>
          <w:iCs/>
        </w:rPr>
        <w:t>T</w:t>
      </w:r>
      <w:r>
        <w:rPr>
          <w:rFonts w:ascii="Arial" w:hAnsi="Arial" w:cs="Arial"/>
          <w:iCs/>
        </w:rPr>
        <w:t>ributario Interno, por</w:t>
      </w:r>
      <w:r w:rsidR="00CD6D69">
        <w:rPr>
          <w:rFonts w:ascii="Arial" w:hAnsi="Arial" w:cs="Arial"/>
          <w:iCs/>
        </w:rPr>
        <w:t xml:space="preserve"> el siguiente texto:</w:t>
      </w:r>
    </w:p>
    <w:p w14:paraId="6635089D" w14:textId="1B98668C" w:rsidR="00CD6D69" w:rsidRDefault="00CD6D69" w:rsidP="00896D35">
      <w:pPr>
        <w:spacing w:after="0" w:line="360" w:lineRule="auto"/>
        <w:ind w:left="708"/>
        <w:jc w:val="both"/>
        <w:rPr>
          <w:rFonts w:ascii="Arial" w:hAnsi="Arial" w:cs="Arial"/>
          <w:iCs/>
        </w:rPr>
      </w:pPr>
    </w:p>
    <w:p w14:paraId="40A2D7D6" w14:textId="030E16B5" w:rsidR="00CD6D69" w:rsidRDefault="00CC35AA" w:rsidP="00896D35">
      <w:pPr>
        <w:spacing w:after="0" w:line="360" w:lineRule="auto"/>
        <w:ind w:left="708"/>
        <w:jc w:val="both"/>
        <w:rPr>
          <w:rFonts w:ascii="Arial" w:hAnsi="Arial" w:cs="Arial"/>
        </w:rPr>
      </w:pPr>
      <w:r>
        <w:rPr>
          <w:rFonts w:ascii="Arial" w:hAnsi="Arial" w:cs="Arial"/>
          <w:b/>
          <w:bCs/>
          <w:u w:val="single"/>
        </w:rPr>
        <w:t>“</w:t>
      </w:r>
      <w:r w:rsidR="00CD6D69" w:rsidRPr="00CD6D69">
        <w:rPr>
          <w:rFonts w:ascii="Arial" w:hAnsi="Arial" w:cs="Arial"/>
          <w:b/>
          <w:bCs/>
          <w:u w:val="single"/>
        </w:rPr>
        <w:t xml:space="preserve">En todos los casos </w:t>
      </w:r>
      <w:r w:rsidR="00CD6D69" w:rsidRPr="00CD6D69">
        <w:rPr>
          <w:rFonts w:ascii="Arial" w:hAnsi="Arial" w:cs="Arial"/>
        </w:rPr>
        <w:t>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00CD6D69">
        <w:rPr>
          <w:rFonts w:ascii="Arial" w:hAnsi="Arial" w:cs="Arial"/>
        </w:rPr>
        <w:t>.</w:t>
      </w:r>
      <w:r w:rsidR="009A3DFF">
        <w:rPr>
          <w:rFonts w:ascii="Arial" w:hAnsi="Arial" w:cs="Arial"/>
        </w:rPr>
        <w:t>”</w:t>
      </w:r>
      <w:r w:rsidR="00026A80">
        <w:rPr>
          <w:rFonts w:ascii="Arial" w:hAnsi="Arial" w:cs="Arial"/>
        </w:rPr>
        <w:t xml:space="preserve"> (énfasis agregado) </w:t>
      </w:r>
    </w:p>
    <w:p w14:paraId="243A3757" w14:textId="77777777" w:rsidR="007D31CF" w:rsidRDefault="007D31CF" w:rsidP="0044393A">
      <w:pPr>
        <w:spacing w:after="0" w:line="360" w:lineRule="auto"/>
        <w:jc w:val="both"/>
        <w:rPr>
          <w:rFonts w:ascii="Arial" w:hAnsi="Arial" w:cs="Arial"/>
        </w:rPr>
      </w:pPr>
    </w:p>
    <w:p w14:paraId="49A6511E" w14:textId="510356CE" w:rsidR="00933F05" w:rsidRDefault="00CC35AA" w:rsidP="00CC35AA">
      <w:pPr>
        <w:spacing w:after="0" w:line="360" w:lineRule="auto"/>
        <w:ind w:firstLine="708"/>
        <w:jc w:val="both"/>
        <w:rPr>
          <w:rFonts w:ascii="Arial" w:hAnsi="Arial" w:cs="Arial"/>
        </w:rPr>
      </w:pPr>
      <w:r w:rsidRPr="000F5AD1">
        <w:rPr>
          <w:rFonts w:ascii="Arial" w:hAnsi="Arial" w:cs="Arial"/>
          <w:b/>
          <w:bCs/>
        </w:rPr>
        <w:t>Disposición transitoria:</w:t>
      </w:r>
      <w:r>
        <w:rPr>
          <w:rFonts w:ascii="Arial" w:hAnsi="Arial" w:cs="Arial"/>
        </w:rPr>
        <w:t xml:space="preserve"> </w:t>
      </w:r>
      <w:r w:rsidR="009A3DFF">
        <w:rPr>
          <w:rFonts w:ascii="Arial" w:hAnsi="Arial" w:cs="Arial"/>
        </w:rPr>
        <w:t>[Se propone incluir la siguiente disposición transitoria]</w:t>
      </w:r>
    </w:p>
    <w:p w14:paraId="0826006B" w14:textId="77777777" w:rsidR="009A3DFF" w:rsidRDefault="009A3DFF" w:rsidP="00CC35AA">
      <w:pPr>
        <w:spacing w:after="0" w:line="360" w:lineRule="auto"/>
        <w:ind w:firstLine="708"/>
        <w:jc w:val="both"/>
        <w:rPr>
          <w:rFonts w:ascii="Arial" w:hAnsi="Arial" w:cs="Arial"/>
        </w:rPr>
      </w:pPr>
    </w:p>
    <w:p w14:paraId="0F2E1C17" w14:textId="10B40F94" w:rsidR="0044393A" w:rsidRDefault="004B29F4" w:rsidP="00933F05">
      <w:pPr>
        <w:spacing w:after="0" w:line="360" w:lineRule="auto"/>
        <w:ind w:left="708"/>
        <w:jc w:val="both"/>
        <w:rPr>
          <w:rFonts w:ascii="Arial" w:hAnsi="Arial" w:cs="Arial"/>
        </w:rPr>
      </w:pPr>
      <w:r>
        <w:rPr>
          <w:rFonts w:ascii="Arial" w:hAnsi="Arial" w:cs="Arial"/>
        </w:rPr>
        <w:t>“</w:t>
      </w:r>
      <w:r w:rsidR="00933F05">
        <w:rPr>
          <w:rFonts w:ascii="Arial" w:hAnsi="Arial" w:cs="Arial"/>
        </w:rPr>
        <w:t xml:space="preserve">Disposición Transitoria </w:t>
      </w:r>
      <w:r w:rsidR="009A3DFF">
        <w:rPr>
          <w:rFonts w:ascii="Arial" w:hAnsi="Arial" w:cs="Arial"/>
        </w:rPr>
        <w:t>(…):</w:t>
      </w:r>
      <w:r w:rsidR="00933F05">
        <w:rPr>
          <w:rFonts w:ascii="Arial" w:hAnsi="Arial" w:cs="Arial"/>
        </w:rPr>
        <w:t xml:space="preserve"> </w:t>
      </w:r>
      <w:r w:rsidR="0044393A">
        <w:rPr>
          <w:rFonts w:ascii="Arial" w:hAnsi="Arial" w:cs="Arial"/>
        </w:rPr>
        <w:t>En un plazo</w:t>
      </w:r>
      <w:r w:rsidR="003E3BFC">
        <w:rPr>
          <w:rFonts w:ascii="Arial" w:hAnsi="Arial" w:cs="Arial"/>
        </w:rPr>
        <w:t xml:space="preserve"> máximo de treinta (</w:t>
      </w:r>
      <w:r w:rsidR="0044393A">
        <w:rPr>
          <w:rFonts w:ascii="Arial" w:hAnsi="Arial" w:cs="Arial"/>
        </w:rPr>
        <w:t>30</w:t>
      </w:r>
      <w:r w:rsidR="003E3BFC">
        <w:rPr>
          <w:rFonts w:ascii="Arial" w:hAnsi="Arial" w:cs="Arial"/>
        </w:rPr>
        <w:t xml:space="preserve">) días posteriores a la publicación de </w:t>
      </w:r>
      <w:r w:rsidR="009A3DFF">
        <w:rPr>
          <w:rFonts w:ascii="Arial" w:hAnsi="Arial" w:cs="Arial"/>
        </w:rPr>
        <w:t>la presente</w:t>
      </w:r>
      <w:r w:rsidR="003E3BFC">
        <w:rPr>
          <w:rFonts w:ascii="Arial" w:hAnsi="Arial" w:cs="Arial"/>
        </w:rPr>
        <w:t xml:space="preserve"> Ley</w:t>
      </w:r>
      <w:r w:rsidR="009A3DFF">
        <w:rPr>
          <w:rFonts w:ascii="Arial" w:hAnsi="Arial" w:cs="Arial"/>
        </w:rPr>
        <w:t xml:space="preserve"> en el Registro Oficial</w:t>
      </w:r>
      <w:r w:rsidR="003E3BFC">
        <w:rPr>
          <w:rFonts w:ascii="Arial" w:hAnsi="Arial" w:cs="Arial"/>
        </w:rPr>
        <w:t xml:space="preserve">, el Servicio de Rentas Internas </w:t>
      </w:r>
      <w:r w:rsidR="00026A80">
        <w:rPr>
          <w:rFonts w:ascii="Arial" w:hAnsi="Arial" w:cs="Arial"/>
        </w:rPr>
        <w:t xml:space="preserve">dictará </w:t>
      </w:r>
      <w:r w:rsidR="009A3DFF">
        <w:rPr>
          <w:rFonts w:ascii="Arial" w:hAnsi="Arial" w:cs="Arial"/>
        </w:rPr>
        <w:t xml:space="preserve">o reformará </w:t>
      </w:r>
      <w:r w:rsidR="00026A80">
        <w:rPr>
          <w:rFonts w:ascii="Arial" w:hAnsi="Arial" w:cs="Arial"/>
        </w:rPr>
        <w:t>las resoluciones</w:t>
      </w:r>
      <w:r w:rsidR="009A3DFF">
        <w:rPr>
          <w:rFonts w:ascii="Arial" w:hAnsi="Arial" w:cs="Arial"/>
        </w:rPr>
        <w:t xml:space="preserve"> y demás normativa secundaria</w:t>
      </w:r>
      <w:r w:rsidR="00026A80">
        <w:rPr>
          <w:rFonts w:ascii="Arial" w:hAnsi="Arial" w:cs="Arial"/>
        </w:rPr>
        <w:t xml:space="preserve"> para el cumplimiento </w:t>
      </w:r>
      <w:r w:rsidR="00933F05">
        <w:rPr>
          <w:rFonts w:ascii="Arial" w:hAnsi="Arial" w:cs="Arial"/>
        </w:rPr>
        <w:t xml:space="preserve">de </w:t>
      </w:r>
      <w:r w:rsidR="009A3DFF">
        <w:rPr>
          <w:rFonts w:ascii="Arial" w:hAnsi="Arial" w:cs="Arial"/>
        </w:rPr>
        <w:t>las disposiciones contenidas en este cuerpo normativo</w:t>
      </w:r>
      <w:r w:rsidR="00933F05">
        <w:rPr>
          <w:rFonts w:ascii="Arial" w:hAnsi="Arial" w:cs="Arial"/>
        </w:rPr>
        <w:t>.</w:t>
      </w:r>
      <w:r>
        <w:rPr>
          <w:rFonts w:ascii="Arial" w:hAnsi="Arial" w:cs="Arial"/>
        </w:rPr>
        <w:t>”</w:t>
      </w:r>
    </w:p>
    <w:p w14:paraId="4002B81A" w14:textId="77777777" w:rsidR="0042514E" w:rsidRPr="0042514E" w:rsidRDefault="0042514E" w:rsidP="00933F05">
      <w:pPr>
        <w:spacing w:after="0" w:line="360" w:lineRule="auto"/>
        <w:jc w:val="both"/>
        <w:rPr>
          <w:rFonts w:ascii="Arial" w:hAnsi="Arial" w:cs="Arial"/>
          <w:iCs/>
        </w:rPr>
      </w:pPr>
    </w:p>
    <w:p w14:paraId="3F87444E"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V</w:t>
      </w:r>
    </w:p>
    <w:p w14:paraId="435448E4"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SOLICITUD</w:t>
      </w:r>
    </w:p>
    <w:p w14:paraId="137D2387" w14:textId="4D58667D" w:rsidR="0042514E" w:rsidRPr="0042514E" w:rsidRDefault="0042514E" w:rsidP="0042514E">
      <w:pPr>
        <w:spacing w:after="0" w:line="360" w:lineRule="auto"/>
        <w:jc w:val="both"/>
        <w:rPr>
          <w:rFonts w:ascii="Arial" w:hAnsi="Arial" w:cs="Arial"/>
        </w:rPr>
      </w:pPr>
      <w:r w:rsidRPr="0042514E">
        <w:rPr>
          <w:rFonts w:ascii="Arial" w:hAnsi="Arial" w:cs="Arial"/>
        </w:rPr>
        <w:t xml:space="preserve">Señores Asambleístas, solicitamos que en el Proyecto que se está tratando se incluya la propuesta de </w:t>
      </w:r>
      <w:r w:rsidR="00273204">
        <w:rPr>
          <w:rFonts w:ascii="Arial" w:hAnsi="Arial" w:cs="Arial"/>
        </w:rPr>
        <w:t xml:space="preserve">reforma </w:t>
      </w:r>
      <w:r w:rsidRPr="0042514E">
        <w:rPr>
          <w:rFonts w:ascii="Arial" w:hAnsi="Arial" w:cs="Arial"/>
        </w:rPr>
        <w:t>señalada en el anterior acápite, con los fundamentos descritos.</w:t>
      </w:r>
    </w:p>
    <w:p w14:paraId="51863336" w14:textId="77777777" w:rsidR="00C54E57" w:rsidRPr="0042514E" w:rsidRDefault="00C54E57"/>
    <w:sectPr w:rsidR="00C54E57" w:rsidRPr="0042514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3771" w14:textId="77777777" w:rsidR="006A1194" w:rsidRDefault="006A1194" w:rsidP="0042514E">
      <w:pPr>
        <w:spacing w:after="0" w:line="240" w:lineRule="auto"/>
      </w:pPr>
      <w:r>
        <w:separator/>
      </w:r>
    </w:p>
  </w:endnote>
  <w:endnote w:type="continuationSeparator" w:id="0">
    <w:p w14:paraId="655ACA60" w14:textId="77777777" w:rsidR="006A1194" w:rsidRDefault="006A1194" w:rsidP="0042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7A80" w14:textId="77777777" w:rsidR="006A1194" w:rsidRDefault="006A1194" w:rsidP="0042514E">
      <w:pPr>
        <w:spacing w:after="0" w:line="240" w:lineRule="auto"/>
      </w:pPr>
      <w:r>
        <w:separator/>
      </w:r>
    </w:p>
  </w:footnote>
  <w:footnote w:type="continuationSeparator" w:id="0">
    <w:p w14:paraId="6935B489" w14:textId="77777777" w:rsidR="006A1194" w:rsidRDefault="006A1194" w:rsidP="0042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DBD4" w14:textId="37A1196E" w:rsidR="0042514E" w:rsidRDefault="0042514E">
    <w:pPr>
      <w:pStyle w:val="Encabezado"/>
    </w:pPr>
    <w:r>
      <w:rPr>
        <w:noProof/>
        <w:lang w:val="es-ES" w:eastAsia="es-ES"/>
      </w:rPr>
      <w:drawing>
        <wp:anchor distT="0" distB="0" distL="114300" distR="114300" simplePos="0" relativeHeight="251659264" behindDoc="1" locked="0" layoutInCell="1" allowOverlap="1" wp14:anchorId="3A5953DF" wp14:editId="06840F7E">
          <wp:simplePos x="0" y="0"/>
          <wp:positionH relativeFrom="margin">
            <wp:posOffset>-542925</wp:posOffset>
          </wp:positionH>
          <wp:positionV relativeFrom="paragraph">
            <wp:posOffset>-248285</wp:posOffset>
          </wp:positionV>
          <wp:extent cx="2399665" cy="503555"/>
          <wp:effectExtent l="0" t="0" r="635" b="0"/>
          <wp:wrapTight wrapText="bothSides">
            <wp:wrapPolygon edited="0">
              <wp:start x="0" y="0"/>
              <wp:lineTo x="0" y="20429"/>
              <wp:lineTo x="21434" y="20429"/>
              <wp:lineTo x="21434" y="0"/>
              <wp:lineTo x="0" y="0"/>
            </wp:wrapPolygon>
          </wp:wrapTight>
          <wp:docPr id="3"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458F"/>
    <w:multiLevelType w:val="hybridMultilevel"/>
    <w:tmpl w:val="8EDAE122"/>
    <w:lvl w:ilvl="0" w:tplc="62549E3A">
      <w:start w:val="1"/>
      <w:numFmt w:val="bullet"/>
      <w:lvlText w:val="•"/>
      <w:lvlJc w:val="left"/>
      <w:pPr>
        <w:tabs>
          <w:tab w:val="num" w:pos="720"/>
        </w:tabs>
        <w:ind w:left="720" w:hanging="360"/>
      </w:pPr>
      <w:rPr>
        <w:rFonts w:ascii="Times New Roman" w:hAnsi="Times New Roman" w:hint="default"/>
      </w:rPr>
    </w:lvl>
    <w:lvl w:ilvl="1" w:tplc="C3A2A586" w:tentative="1">
      <w:start w:val="1"/>
      <w:numFmt w:val="bullet"/>
      <w:lvlText w:val="•"/>
      <w:lvlJc w:val="left"/>
      <w:pPr>
        <w:tabs>
          <w:tab w:val="num" w:pos="1440"/>
        </w:tabs>
        <w:ind w:left="1440" w:hanging="360"/>
      </w:pPr>
      <w:rPr>
        <w:rFonts w:ascii="Times New Roman" w:hAnsi="Times New Roman" w:hint="default"/>
      </w:rPr>
    </w:lvl>
    <w:lvl w:ilvl="2" w:tplc="7FBCF5F0" w:tentative="1">
      <w:start w:val="1"/>
      <w:numFmt w:val="bullet"/>
      <w:lvlText w:val="•"/>
      <w:lvlJc w:val="left"/>
      <w:pPr>
        <w:tabs>
          <w:tab w:val="num" w:pos="2160"/>
        </w:tabs>
        <w:ind w:left="2160" w:hanging="360"/>
      </w:pPr>
      <w:rPr>
        <w:rFonts w:ascii="Times New Roman" w:hAnsi="Times New Roman" w:hint="default"/>
      </w:rPr>
    </w:lvl>
    <w:lvl w:ilvl="3" w:tplc="A146954E" w:tentative="1">
      <w:start w:val="1"/>
      <w:numFmt w:val="bullet"/>
      <w:lvlText w:val="•"/>
      <w:lvlJc w:val="left"/>
      <w:pPr>
        <w:tabs>
          <w:tab w:val="num" w:pos="2880"/>
        </w:tabs>
        <w:ind w:left="2880" w:hanging="360"/>
      </w:pPr>
      <w:rPr>
        <w:rFonts w:ascii="Times New Roman" w:hAnsi="Times New Roman" w:hint="default"/>
      </w:rPr>
    </w:lvl>
    <w:lvl w:ilvl="4" w:tplc="55D2EE34" w:tentative="1">
      <w:start w:val="1"/>
      <w:numFmt w:val="bullet"/>
      <w:lvlText w:val="•"/>
      <w:lvlJc w:val="left"/>
      <w:pPr>
        <w:tabs>
          <w:tab w:val="num" w:pos="3600"/>
        </w:tabs>
        <w:ind w:left="3600" w:hanging="360"/>
      </w:pPr>
      <w:rPr>
        <w:rFonts w:ascii="Times New Roman" w:hAnsi="Times New Roman" w:hint="default"/>
      </w:rPr>
    </w:lvl>
    <w:lvl w:ilvl="5" w:tplc="D2942A68" w:tentative="1">
      <w:start w:val="1"/>
      <w:numFmt w:val="bullet"/>
      <w:lvlText w:val="•"/>
      <w:lvlJc w:val="left"/>
      <w:pPr>
        <w:tabs>
          <w:tab w:val="num" w:pos="4320"/>
        </w:tabs>
        <w:ind w:left="4320" w:hanging="360"/>
      </w:pPr>
      <w:rPr>
        <w:rFonts w:ascii="Times New Roman" w:hAnsi="Times New Roman" w:hint="default"/>
      </w:rPr>
    </w:lvl>
    <w:lvl w:ilvl="6" w:tplc="2836F6A4" w:tentative="1">
      <w:start w:val="1"/>
      <w:numFmt w:val="bullet"/>
      <w:lvlText w:val="•"/>
      <w:lvlJc w:val="left"/>
      <w:pPr>
        <w:tabs>
          <w:tab w:val="num" w:pos="5040"/>
        </w:tabs>
        <w:ind w:left="5040" w:hanging="360"/>
      </w:pPr>
      <w:rPr>
        <w:rFonts w:ascii="Times New Roman" w:hAnsi="Times New Roman" w:hint="default"/>
      </w:rPr>
    </w:lvl>
    <w:lvl w:ilvl="7" w:tplc="928A43C0" w:tentative="1">
      <w:start w:val="1"/>
      <w:numFmt w:val="bullet"/>
      <w:lvlText w:val="•"/>
      <w:lvlJc w:val="left"/>
      <w:pPr>
        <w:tabs>
          <w:tab w:val="num" w:pos="5760"/>
        </w:tabs>
        <w:ind w:left="5760" w:hanging="360"/>
      </w:pPr>
      <w:rPr>
        <w:rFonts w:ascii="Times New Roman" w:hAnsi="Times New Roman" w:hint="default"/>
      </w:rPr>
    </w:lvl>
    <w:lvl w:ilvl="8" w:tplc="718C98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6D5140"/>
    <w:multiLevelType w:val="hybridMultilevel"/>
    <w:tmpl w:val="A32EC1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937017C"/>
    <w:multiLevelType w:val="hybridMultilevel"/>
    <w:tmpl w:val="3C501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4E"/>
    <w:rsid w:val="00012FAF"/>
    <w:rsid w:val="00026A80"/>
    <w:rsid w:val="000F5AD1"/>
    <w:rsid w:val="00165FB4"/>
    <w:rsid w:val="00273204"/>
    <w:rsid w:val="003E3BFC"/>
    <w:rsid w:val="0041080C"/>
    <w:rsid w:val="0042514E"/>
    <w:rsid w:val="0044393A"/>
    <w:rsid w:val="0045434A"/>
    <w:rsid w:val="004938CA"/>
    <w:rsid w:val="004B29F4"/>
    <w:rsid w:val="006A1194"/>
    <w:rsid w:val="007D31CF"/>
    <w:rsid w:val="0088740B"/>
    <w:rsid w:val="00896D35"/>
    <w:rsid w:val="008C30BA"/>
    <w:rsid w:val="008F4A12"/>
    <w:rsid w:val="00927EBC"/>
    <w:rsid w:val="00933F05"/>
    <w:rsid w:val="00995006"/>
    <w:rsid w:val="009A3DFF"/>
    <w:rsid w:val="009C2021"/>
    <w:rsid w:val="00A00AF9"/>
    <w:rsid w:val="00AF2C1D"/>
    <w:rsid w:val="00B13A18"/>
    <w:rsid w:val="00C15137"/>
    <w:rsid w:val="00C54E57"/>
    <w:rsid w:val="00CC35AA"/>
    <w:rsid w:val="00CD6D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8A8C"/>
  <w15:chartTrackingRefBased/>
  <w15:docId w15:val="{952EA43D-43F6-4661-BDA7-AE0209BC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14E"/>
    <w:pPr>
      <w:ind w:left="720"/>
      <w:contextualSpacing/>
    </w:pPr>
  </w:style>
  <w:style w:type="character" w:customStyle="1" w:styleId="nrmar">
    <w:name w:val="nrmar"/>
    <w:basedOn w:val="Fuentedeprrafopredeter"/>
    <w:rsid w:val="0042514E"/>
  </w:style>
  <w:style w:type="paragraph" w:styleId="Encabezado">
    <w:name w:val="header"/>
    <w:basedOn w:val="Normal"/>
    <w:link w:val="EncabezadoCar"/>
    <w:uiPriority w:val="99"/>
    <w:unhideWhenUsed/>
    <w:rsid w:val="00425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14E"/>
  </w:style>
  <w:style w:type="paragraph" w:styleId="Piedepgina">
    <w:name w:val="footer"/>
    <w:basedOn w:val="Normal"/>
    <w:link w:val="PiedepginaCar"/>
    <w:uiPriority w:val="99"/>
    <w:unhideWhenUsed/>
    <w:rsid w:val="00425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1894</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Gordillo</dc:creator>
  <cp:keywords/>
  <dc:description/>
  <cp:lastModifiedBy>Jaime Salazar</cp:lastModifiedBy>
  <cp:revision>10</cp:revision>
  <dcterms:created xsi:type="dcterms:W3CDTF">2021-11-11T18:41:00Z</dcterms:created>
  <dcterms:modified xsi:type="dcterms:W3CDTF">2021-11-11T18:58:00Z</dcterms:modified>
</cp:coreProperties>
</file>