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EAA9" w14:textId="77777777" w:rsidR="00F8120A" w:rsidRDefault="00F8120A" w:rsidP="004A6DF0">
      <w:pPr>
        <w:jc w:val="both"/>
        <w:rPr>
          <w:color w:val="000000"/>
          <w:sz w:val="27"/>
          <w:szCs w:val="27"/>
        </w:rPr>
      </w:pPr>
      <w:r>
        <w:rPr>
          <w:b/>
          <w:bCs/>
          <w:color w:val="000000"/>
          <w:sz w:val="27"/>
          <w:szCs w:val="27"/>
          <w:lang w:val="es-ES"/>
        </w:rPr>
        <w:t>“</w:t>
      </w:r>
      <w:r w:rsidR="00F7547E">
        <w:rPr>
          <w:b/>
          <w:bCs/>
          <w:color w:val="000000"/>
          <w:sz w:val="27"/>
          <w:szCs w:val="27"/>
          <w:lang w:val="es-ES"/>
        </w:rPr>
        <w:t xml:space="preserve">PROYECTO DE LEY </w:t>
      </w:r>
      <w:r>
        <w:rPr>
          <w:b/>
          <w:bCs/>
          <w:color w:val="000000"/>
          <w:sz w:val="27"/>
          <w:szCs w:val="27"/>
          <w:lang w:val="es-ES"/>
        </w:rPr>
        <w:t xml:space="preserve">DE </w:t>
      </w:r>
      <w:r w:rsidR="00F7547E">
        <w:rPr>
          <w:b/>
          <w:bCs/>
          <w:color w:val="000000"/>
          <w:sz w:val="27"/>
          <w:szCs w:val="27"/>
          <w:lang w:val="es-ES"/>
        </w:rPr>
        <w:t>REFORMA</w:t>
      </w:r>
      <w:r>
        <w:rPr>
          <w:b/>
          <w:bCs/>
          <w:color w:val="000000"/>
          <w:sz w:val="27"/>
          <w:szCs w:val="27"/>
          <w:lang w:val="es-ES"/>
        </w:rPr>
        <w:t xml:space="preserve"> A LA </w:t>
      </w:r>
      <w:r w:rsidR="00F7547E">
        <w:rPr>
          <w:b/>
          <w:bCs/>
          <w:color w:val="000000"/>
          <w:sz w:val="27"/>
          <w:szCs w:val="27"/>
          <w:lang w:val="es-ES"/>
        </w:rPr>
        <w:t>LEY QUE ESTABLECE RENTAS EN FAVOR DE LAS PROVINCIAS DE AZUAY, CAÑAR, MORONA SANTIAGO Y TUNGURAHUA POR VENTA DE ENERGÍA ELÉCTRICA</w:t>
      </w:r>
      <w:r>
        <w:rPr>
          <w:color w:val="000000"/>
          <w:sz w:val="27"/>
          <w:szCs w:val="27"/>
        </w:rPr>
        <w:t xml:space="preserve"> </w:t>
      </w:r>
    </w:p>
    <w:p w14:paraId="2771EDB8" w14:textId="2591F955" w:rsidR="00F7547E" w:rsidRPr="00F8120A" w:rsidRDefault="00F7547E" w:rsidP="004A6DF0">
      <w:pPr>
        <w:jc w:val="both"/>
        <w:rPr>
          <w:color w:val="000000"/>
          <w:sz w:val="27"/>
          <w:szCs w:val="27"/>
        </w:rPr>
      </w:pPr>
      <w:r>
        <w:rPr>
          <w:color w:val="000000"/>
          <w:sz w:val="27"/>
          <w:szCs w:val="27"/>
          <w:lang w:val="es-ES"/>
        </w:rPr>
        <w:t>(Decreto Ley No. 47)</w:t>
      </w:r>
      <w:r w:rsidR="00F8120A">
        <w:rPr>
          <w:color w:val="000000"/>
          <w:sz w:val="27"/>
          <w:szCs w:val="27"/>
          <w:lang w:val="es-ES"/>
        </w:rPr>
        <w:t>”</w:t>
      </w:r>
    </w:p>
    <w:p w14:paraId="1DBD339D" w14:textId="77777777" w:rsidR="00A44115" w:rsidRDefault="00A44115" w:rsidP="004A6DF0">
      <w:pPr>
        <w:pStyle w:val="Sinespaciado"/>
        <w:jc w:val="both"/>
      </w:pPr>
    </w:p>
    <w:tbl>
      <w:tblPr>
        <w:tblStyle w:val="Tablaconcuadrcula"/>
        <w:tblW w:w="15310" w:type="dxa"/>
        <w:tblInd w:w="-714" w:type="dxa"/>
        <w:tblLook w:val="04A0" w:firstRow="1" w:lastRow="0" w:firstColumn="1" w:lastColumn="0" w:noHBand="0" w:noVBand="1"/>
      </w:tblPr>
      <w:tblGrid>
        <w:gridCol w:w="3686"/>
        <w:gridCol w:w="3686"/>
        <w:gridCol w:w="3685"/>
        <w:gridCol w:w="4253"/>
      </w:tblGrid>
      <w:tr w:rsidR="00A44115" w:rsidRPr="00590569" w14:paraId="57B09421" w14:textId="22CABBFC" w:rsidTr="00A44115">
        <w:tc>
          <w:tcPr>
            <w:tcW w:w="3686" w:type="dxa"/>
            <w:shd w:val="clear" w:color="auto" w:fill="1F3864" w:themeFill="accent1" w:themeFillShade="80"/>
          </w:tcPr>
          <w:p w14:paraId="6F47372B" w14:textId="77777777" w:rsidR="00A44115" w:rsidRDefault="00A44115" w:rsidP="004A6DF0">
            <w:pPr>
              <w:pStyle w:val="Sinespaciado"/>
              <w:jc w:val="both"/>
              <w:rPr>
                <w:rFonts w:ascii="Baskerville" w:hAnsi="Baskerville"/>
                <w:sz w:val="21"/>
                <w:szCs w:val="21"/>
              </w:rPr>
            </w:pPr>
          </w:p>
          <w:p w14:paraId="743231B5" w14:textId="7E71D00B" w:rsidR="00A44115" w:rsidRPr="00A44115" w:rsidRDefault="00A44115" w:rsidP="004A6DF0">
            <w:pPr>
              <w:pStyle w:val="Sinespaciado"/>
              <w:jc w:val="both"/>
              <w:rPr>
                <w:rFonts w:ascii="Baskerville" w:hAnsi="Baskerville"/>
                <w:sz w:val="21"/>
                <w:szCs w:val="21"/>
              </w:rPr>
            </w:pPr>
            <w:r w:rsidRPr="00A44115">
              <w:rPr>
                <w:rFonts w:ascii="Baskerville" w:hAnsi="Baskerville"/>
                <w:sz w:val="21"/>
                <w:szCs w:val="21"/>
              </w:rPr>
              <w:t>LEY VIGENTE</w:t>
            </w:r>
          </w:p>
        </w:tc>
        <w:tc>
          <w:tcPr>
            <w:tcW w:w="3686" w:type="dxa"/>
            <w:shd w:val="clear" w:color="auto" w:fill="1F3864" w:themeFill="accent1" w:themeFillShade="80"/>
          </w:tcPr>
          <w:p w14:paraId="50622292" w14:textId="77777777" w:rsidR="00A44115" w:rsidRDefault="00A44115" w:rsidP="004A6DF0">
            <w:pPr>
              <w:pStyle w:val="Sinespaciado"/>
              <w:jc w:val="both"/>
              <w:rPr>
                <w:rFonts w:ascii="Baskerville" w:hAnsi="Baskerville"/>
                <w:sz w:val="21"/>
                <w:szCs w:val="21"/>
              </w:rPr>
            </w:pPr>
          </w:p>
          <w:p w14:paraId="44A9F161" w14:textId="1A1C7285" w:rsidR="00A44115" w:rsidRPr="00A44115" w:rsidRDefault="00A44115" w:rsidP="004A6DF0">
            <w:pPr>
              <w:pStyle w:val="Sinespaciado"/>
              <w:jc w:val="both"/>
              <w:rPr>
                <w:rFonts w:ascii="Baskerville" w:hAnsi="Baskerville"/>
                <w:sz w:val="21"/>
                <w:szCs w:val="21"/>
              </w:rPr>
            </w:pPr>
            <w:r w:rsidRPr="00A44115">
              <w:rPr>
                <w:rFonts w:ascii="Baskerville" w:hAnsi="Baskerville"/>
                <w:sz w:val="21"/>
                <w:szCs w:val="21"/>
              </w:rPr>
              <w:t>PROYECTO REFORMA AS. LLORET</w:t>
            </w:r>
          </w:p>
        </w:tc>
        <w:tc>
          <w:tcPr>
            <w:tcW w:w="3685" w:type="dxa"/>
            <w:shd w:val="clear" w:color="auto" w:fill="1F3864" w:themeFill="accent1" w:themeFillShade="80"/>
          </w:tcPr>
          <w:p w14:paraId="1DCF32B5" w14:textId="77777777" w:rsidR="00A44115" w:rsidRDefault="00A44115" w:rsidP="004A6DF0">
            <w:pPr>
              <w:pStyle w:val="Sinespaciado"/>
              <w:jc w:val="both"/>
              <w:rPr>
                <w:rFonts w:ascii="Baskerville" w:hAnsi="Baskerville"/>
                <w:sz w:val="21"/>
                <w:szCs w:val="21"/>
              </w:rPr>
            </w:pPr>
          </w:p>
          <w:p w14:paraId="469DDD32" w14:textId="4D930FBA" w:rsidR="00A44115" w:rsidRPr="00A44115" w:rsidRDefault="00A44115" w:rsidP="004A6DF0">
            <w:pPr>
              <w:pStyle w:val="Sinespaciado"/>
              <w:jc w:val="both"/>
              <w:rPr>
                <w:rFonts w:ascii="Baskerville" w:hAnsi="Baskerville"/>
                <w:sz w:val="21"/>
                <w:szCs w:val="21"/>
              </w:rPr>
            </w:pPr>
            <w:r w:rsidRPr="00A44115">
              <w:rPr>
                <w:rFonts w:ascii="Baskerville" w:hAnsi="Baskerville"/>
                <w:sz w:val="21"/>
                <w:szCs w:val="21"/>
              </w:rPr>
              <w:t>PROYECTO REFORMA AS. SAQUICELA</w:t>
            </w:r>
          </w:p>
        </w:tc>
        <w:tc>
          <w:tcPr>
            <w:tcW w:w="4253" w:type="dxa"/>
            <w:shd w:val="clear" w:color="auto" w:fill="1F3864" w:themeFill="accent1" w:themeFillShade="80"/>
          </w:tcPr>
          <w:p w14:paraId="0FB9AF22" w14:textId="77777777" w:rsidR="00A44115" w:rsidRDefault="00A44115" w:rsidP="004A6DF0">
            <w:pPr>
              <w:pStyle w:val="Sinespaciado"/>
              <w:jc w:val="both"/>
              <w:rPr>
                <w:rFonts w:ascii="Baskerville" w:hAnsi="Baskerville"/>
                <w:sz w:val="21"/>
                <w:szCs w:val="21"/>
              </w:rPr>
            </w:pPr>
          </w:p>
          <w:p w14:paraId="569A79E1" w14:textId="5020A66A" w:rsidR="00A44115" w:rsidRPr="00A44115" w:rsidRDefault="00A44115" w:rsidP="004A6DF0">
            <w:pPr>
              <w:pStyle w:val="Sinespaciado"/>
              <w:jc w:val="both"/>
              <w:rPr>
                <w:rFonts w:ascii="Baskerville" w:hAnsi="Baskerville"/>
                <w:sz w:val="21"/>
                <w:szCs w:val="21"/>
              </w:rPr>
            </w:pPr>
            <w:r w:rsidRPr="00A44115">
              <w:rPr>
                <w:rFonts w:ascii="Baskerville" w:hAnsi="Baskerville"/>
                <w:sz w:val="21"/>
                <w:szCs w:val="21"/>
              </w:rPr>
              <w:t xml:space="preserve">UNIFICACIÓN DE LOS </w:t>
            </w:r>
            <w:r w:rsidR="00F7547E">
              <w:rPr>
                <w:rFonts w:ascii="Baskerville" w:hAnsi="Baskerville"/>
                <w:sz w:val="21"/>
                <w:szCs w:val="21"/>
              </w:rPr>
              <w:t xml:space="preserve">2 </w:t>
            </w:r>
            <w:r w:rsidRPr="00A44115">
              <w:rPr>
                <w:rFonts w:ascii="Baskerville" w:hAnsi="Baskerville"/>
                <w:sz w:val="21"/>
                <w:szCs w:val="21"/>
              </w:rPr>
              <w:t>PROYECTOS</w:t>
            </w:r>
          </w:p>
        </w:tc>
      </w:tr>
      <w:tr w:rsidR="00A44115" w:rsidRPr="00590569" w14:paraId="3C8CD26D" w14:textId="6FD6EF99" w:rsidTr="00A44115">
        <w:tc>
          <w:tcPr>
            <w:tcW w:w="3686" w:type="dxa"/>
          </w:tcPr>
          <w:p w14:paraId="608B1347" w14:textId="77777777" w:rsidR="00A44115" w:rsidRDefault="00A44115" w:rsidP="004A6DF0">
            <w:pPr>
              <w:pStyle w:val="Sinespaciado"/>
              <w:jc w:val="both"/>
              <w:rPr>
                <w:rFonts w:ascii="Baskerville" w:hAnsi="Baskerville"/>
                <w:b/>
                <w:bCs/>
                <w:color w:val="000000"/>
                <w:sz w:val="21"/>
                <w:szCs w:val="21"/>
                <w:lang w:val="es-ES"/>
              </w:rPr>
            </w:pPr>
          </w:p>
          <w:p w14:paraId="1B9EB109" w14:textId="77777777" w:rsidR="00A44115" w:rsidRDefault="00A44115" w:rsidP="004A6DF0">
            <w:pPr>
              <w:pStyle w:val="Sinespaciado"/>
              <w:jc w:val="both"/>
              <w:rPr>
                <w:rFonts w:ascii="Baskerville" w:hAnsi="Baskerville"/>
                <w:b/>
                <w:bCs/>
                <w:color w:val="000000"/>
                <w:sz w:val="21"/>
                <w:szCs w:val="21"/>
                <w:lang w:val="es-ES"/>
              </w:rPr>
            </w:pPr>
          </w:p>
          <w:p w14:paraId="6F9EE009" w14:textId="77777777" w:rsidR="00A44115" w:rsidRDefault="00A44115" w:rsidP="004A6DF0">
            <w:pPr>
              <w:pStyle w:val="Sinespaciado"/>
              <w:jc w:val="both"/>
              <w:rPr>
                <w:rFonts w:ascii="Baskerville" w:hAnsi="Baskerville"/>
                <w:b/>
                <w:bCs/>
                <w:color w:val="000000"/>
                <w:sz w:val="21"/>
                <w:szCs w:val="21"/>
                <w:lang w:val="es-ES"/>
              </w:rPr>
            </w:pPr>
          </w:p>
          <w:p w14:paraId="00B5D0BA" w14:textId="3D05A2B2" w:rsidR="00A44115" w:rsidRPr="00590569" w:rsidRDefault="00A44115" w:rsidP="004A6DF0">
            <w:pPr>
              <w:pStyle w:val="Sinespaciado"/>
              <w:jc w:val="both"/>
              <w:rPr>
                <w:rFonts w:ascii="Baskerville" w:hAnsi="Baskerville"/>
                <w:sz w:val="21"/>
                <w:szCs w:val="21"/>
              </w:rPr>
            </w:pPr>
            <w:r w:rsidRPr="00590569">
              <w:rPr>
                <w:rFonts w:ascii="Baskerville" w:hAnsi="Baskerville"/>
                <w:b/>
                <w:bCs/>
                <w:color w:val="000000"/>
                <w:sz w:val="21"/>
                <w:szCs w:val="21"/>
                <w:lang w:val="es-ES"/>
              </w:rPr>
              <w:t>Art. 1.- </w:t>
            </w:r>
            <w:r w:rsidRPr="00590569">
              <w:rPr>
                <w:rFonts w:ascii="Baskerville" w:hAnsi="Baskerville"/>
                <w:color w:val="000000"/>
                <w:sz w:val="21"/>
                <w:szCs w:val="21"/>
                <w:lang w:val="es-ES"/>
              </w:rPr>
              <w:t xml:space="preserve">A partir del año de 1990, en el Presupuesto del Estado se establecerán en favor de las provincias de Azuay, Cañar, Morona Santiago y Tungurahua, asignaciones equivalentes al 5% de la facturación que por venta de energía a las Empresas Eléctricas efectúe el Instituto Ecuatoriano de Electrificación (INECEL) y que sea originaria de las Centrales Hidroeléctricas de Paute, </w:t>
            </w:r>
            <w:proofErr w:type="spellStart"/>
            <w:r w:rsidRPr="00590569">
              <w:rPr>
                <w:rFonts w:ascii="Baskerville" w:hAnsi="Baskerville"/>
                <w:color w:val="000000"/>
                <w:sz w:val="21"/>
                <w:szCs w:val="21"/>
                <w:lang w:val="es-ES"/>
              </w:rPr>
              <w:t>Pisayambo</w:t>
            </w:r>
            <w:proofErr w:type="spellEnd"/>
            <w:r w:rsidRPr="00590569">
              <w:rPr>
                <w:rFonts w:ascii="Baskerville" w:hAnsi="Baskerville"/>
                <w:color w:val="000000"/>
                <w:sz w:val="21"/>
                <w:szCs w:val="21"/>
                <w:lang w:val="es-ES"/>
              </w:rPr>
              <w:t xml:space="preserve"> y </w:t>
            </w:r>
            <w:proofErr w:type="spellStart"/>
            <w:r w:rsidRPr="00590569">
              <w:rPr>
                <w:rFonts w:ascii="Baskerville" w:hAnsi="Baskerville"/>
                <w:color w:val="000000"/>
                <w:sz w:val="21"/>
                <w:szCs w:val="21"/>
                <w:lang w:val="es-ES"/>
              </w:rPr>
              <w:t>Agoyán</w:t>
            </w:r>
            <w:proofErr w:type="spellEnd"/>
            <w:r w:rsidRPr="00590569">
              <w:rPr>
                <w:rFonts w:ascii="Baskerville" w:hAnsi="Baskerville"/>
                <w:color w:val="000000"/>
                <w:sz w:val="21"/>
                <w:szCs w:val="21"/>
                <w:lang w:val="es-ES"/>
              </w:rPr>
              <w:t>.</w:t>
            </w:r>
          </w:p>
          <w:p w14:paraId="2C2F98E5" w14:textId="77777777" w:rsidR="00A44115" w:rsidRPr="00590569" w:rsidRDefault="00A44115" w:rsidP="004A6DF0">
            <w:pPr>
              <w:pStyle w:val="Sinespaciado"/>
              <w:jc w:val="both"/>
              <w:rPr>
                <w:rFonts w:ascii="Baskerville" w:hAnsi="Baskerville"/>
                <w:i/>
                <w:iCs/>
                <w:sz w:val="21"/>
                <w:szCs w:val="21"/>
              </w:rPr>
            </w:pPr>
          </w:p>
        </w:tc>
        <w:tc>
          <w:tcPr>
            <w:tcW w:w="3686" w:type="dxa"/>
          </w:tcPr>
          <w:p w14:paraId="47F00423" w14:textId="237A6A37" w:rsidR="00A44115" w:rsidRPr="00590569" w:rsidRDefault="00A44115" w:rsidP="004A6DF0">
            <w:pPr>
              <w:pStyle w:val="Sinespaciado"/>
              <w:jc w:val="both"/>
              <w:rPr>
                <w:rFonts w:ascii="Baskerville" w:hAnsi="Baskerville"/>
                <w:sz w:val="21"/>
                <w:szCs w:val="21"/>
              </w:rPr>
            </w:pPr>
            <w:r w:rsidRPr="00590569">
              <w:rPr>
                <w:rFonts w:ascii="Baskerville" w:hAnsi="Baskerville" w:cs="Arial"/>
                <w:sz w:val="21"/>
                <w:szCs w:val="21"/>
              </w:rPr>
              <w:t xml:space="preserve">Se sustituye el artículo 1 de la Ley 047, por la siguiente. </w:t>
            </w:r>
          </w:p>
          <w:p w14:paraId="0E928F37" w14:textId="77777777" w:rsidR="00A44115" w:rsidRDefault="00A44115" w:rsidP="004A6DF0">
            <w:pPr>
              <w:pStyle w:val="Sinespaciado"/>
              <w:jc w:val="both"/>
              <w:rPr>
                <w:rFonts w:ascii="Baskerville" w:hAnsi="Baskerville" w:cs="Arial"/>
                <w:sz w:val="21"/>
                <w:szCs w:val="21"/>
              </w:rPr>
            </w:pPr>
          </w:p>
          <w:p w14:paraId="39095A0A" w14:textId="43EDA2FD" w:rsidR="00A44115" w:rsidRPr="00590569" w:rsidRDefault="00A44115" w:rsidP="004A6DF0">
            <w:pPr>
              <w:pStyle w:val="Sinespaciado"/>
              <w:jc w:val="both"/>
              <w:rPr>
                <w:rFonts w:ascii="Baskerville" w:hAnsi="Baskerville"/>
                <w:sz w:val="21"/>
                <w:szCs w:val="21"/>
              </w:rPr>
            </w:pPr>
            <w:r w:rsidRPr="00590569">
              <w:rPr>
                <w:rFonts w:ascii="Baskerville" w:hAnsi="Baskerville" w:cs="Arial"/>
                <w:sz w:val="21"/>
                <w:szCs w:val="21"/>
              </w:rPr>
              <w:t xml:space="preserve">Art. 1.- A partir del año 1990, en el Presupuesto del Estado se establecerán en favor de las provincias de Azuay, Cañar, Morona Santiago y Tungurahua, asignaciones equivalentes al 5% de la facturación que por venta de energía a las Empresas Eléctricas efectúe </w:t>
            </w:r>
            <w:r w:rsidRPr="00590569">
              <w:rPr>
                <w:rFonts w:ascii="Baskerville" w:hAnsi="Baskerville"/>
                <w:sz w:val="21"/>
                <w:szCs w:val="21"/>
              </w:rPr>
              <w:t>el Operador Nacional de Electricidad, CENACE</w:t>
            </w:r>
            <w:r w:rsidRPr="00590569">
              <w:rPr>
                <w:rFonts w:ascii="Baskerville" w:hAnsi="Baskerville" w:cs="Arial"/>
                <w:sz w:val="21"/>
                <w:szCs w:val="21"/>
              </w:rPr>
              <w:t xml:space="preserve">, y que sea originaria de las Centrales Hidroeléctricas de Paute, Pisayambo y Agoyán. </w:t>
            </w:r>
          </w:p>
        </w:tc>
        <w:tc>
          <w:tcPr>
            <w:tcW w:w="3685" w:type="dxa"/>
          </w:tcPr>
          <w:p w14:paraId="664CE9D5" w14:textId="77777777" w:rsidR="00A44115" w:rsidRDefault="00A44115" w:rsidP="004A6DF0">
            <w:pPr>
              <w:pStyle w:val="Sinespaciado"/>
              <w:jc w:val="both"/>
              <w:rPr>
                <w:rFonts w:ascii="Baskerville" w:hAnsi="Baskerville"/>
                <w:b/>
                <w:bCs/>
                <w:sz w:val="21"/>
                <w:szCs w:val="21"/>
              </w:rPr>
            </w:pPr>
          </w:p>
          <w:p w14:paraId="159C22DE" w14:textId="77777777" w:rsidR="00A44115" w:rsidRDefault="00A44115" w:rsidP="004A6DF0">
            <w:pPr>
              <w:pStyle w:val="Sinespaciado"/>
              <w:jc w:val="both"/>
              <w:rPr>
                <w:rFonts w:ascii="Baskerville" w:hAnsi="Baskerville"/>
                <w:b/>
                <w:bCs/>
                <w:sz w:val="21"/>
                <w:szCs w:val="21"/>
              </w:rPr>
            </w:pPr>
          </w:p>
          <w:p w14:paraId="6756D207" w14:textId="77777777" w:rsidR="00A44115" w:rsidRDefault="00A44115" w:rsidP="004A6DF0">
            <w:pPr>
              <w:pStyle w:val="Sinespaciado"/>
              <w:jc w:val="both"/>
              <w:rPr>
                <w:rFonts w:ascii="Baskerville" w:hAnsi="Baskerville"/>
                <w:b/>
                <w:bCs/>
                <w:sz w:val="21"/>
                <w:szCs w:val="21"/>
              </w:rPr>
            </w:pPr>
          </w:p>
          <w:p w14:paraId="221BD5A6" w14:textId="21F24BE8" w:rsidR="00A44115" w:rsidRPr="00590569" w:rsidRDefault="00A44115" w:rsidP="004A6DF0">
            <w:pPr>
              <w:pStyle w:val="Sinespaciado"/>
              <w:jc w:val="both"/>
              <w:rPr>
                <w:rFonts w:ascii="Baskerville" w:hAnsi="Baskerville"/>
                <w:sz w:val="21"/>
                <w:szCs w:val="21"/>
              </w:rPr>
            </w:pPr>
            <w:r w:rsidRPr="00590569">
              <w:rPr>
                <w:rFonts w:ascii="Baskerville" w:hAnsi="Baskerville"/>
                <w:b/>
                <w:bCs/>
                <w:sz w:val="21"/>
                <w:szCs w:val="21"/>
              </w:rPr>
              <w:t xml:space="preserve">Art. 1.- </w:t>
            </w:r>
            <w:r w:rsidRPr="00F46586">
              <w:rPr>
                <w:rFonts w:ascii="Baskerville" w:hAnsi="Baskerville"/>
                <w:sz w:val="21"/>
                <w:szCs w:val="21"/>
              </w:rPr>
              <w:t>En el Presupuesto del Estado, cada año se establecerá en favor de las provincias del Azuay, Cañar, Morona Santiago y Tungurahua, asignaciones equivalentes al 5% de la facturación que por venta de energía efectúe la Corporación Nacional de Electricidad, CNEL EP, o la entidad que haga sus veces, y que sea originaria de las Centrales Hidroeléctricas de Paute, Pisayambo</w:t>
            </w:r>
            <w:r w:rsidRPr="00590569">
              <w:rPr>
                <w:rFonts w:ascii="Baskerville" w:hAnsi="Baskerville"/>
                <w:sz w:val="21"/>
                <w:szCs w:val="21"/>
              </w:rPr>
              <w:t xml:space="preserve"> y Agoyán. </w:t>
            </w:r>
          </w:p>
          <w:p w14:paraId="36D00B19" w14:textId="77777777" w:rsidR="00A44115" w:rsidRPr="00590569" w:rsidRDefault="00A44115" w:rsidP="004A6DF0">
            <w:pPr>
              <w:pStyle w:val="Sinespaciado"/>
              <w:jc w:val="both"/>
              <w:rPr>
                <w:rFonts w:ascii="Baskerville" w:hAnsi="Baskerville"/>
                <w:i/>
                <w:iCs/>
                <w:sz w:val="21"/>
                <w:szCs w:val="21"/>
              </w:rPr>
            </w:pPr>
          </w:p>
        </w:tc>
        <w:tc>
          <w:tcPr>
            <w:tcW w:w="4253" w:type="dxa"/>
          </w:tcPr>
          <w:p w14:paraId="44FE672C" w14:textId="77777777" w:rsidR="00153544" w:rsidRDefault="00153544" w:rsidP="004A6DF0">
            <w:pPr>
              <w:pStyle w:val="Sinespaciado"/>
              <w:jc w:val="both"/>
              <w:rPr>
                <w:rFonts w:ascii="Baskerville" w:hAnsi="Baskerville" w:cs="Arial"/>
                <w:sz w:val="21"/>
                <w:szCs w:val="21"/>
              </w:rPr>
            </w:pPr>
          </w:p>
          <w:p w14:paraId="15E9E638" w14:textId="77777777" w:rsidR="00F7547E" w:rsidRDefault="00153544" w:rsidP="004A6DF0">
            <w:pPr>
              <w:pStyle w:val="NormalWeb"/>
              <w:shd w:val="clear" w:color="auto" w:fill="FFFFFF"/>
              <w:jc w:val="both"/>
              <w:rPr>
                <w:rFonts w:ascii="Baskerville" w:hAnsi="Baskerville"/>
                <w:sz w:val="21"/>
                <w:szCs w:val="21"/>
              </w:rPr>
            </w:pPr>
            <w:r w:rsidRPr="00F7547E">
              <w:rPr>
                <w:rFonts w:ascii="Baskerville" w:hAnsi="Baskerville"/>
                <w:b/>
                <w:bCs/>
                <w:sz w:val="21"/>
                <w:szCs w:val="21"/>
              </w:rPr>
              <w:t xml:space="preserve">Artículo </w:t>
            </w:r>
            <w:r w:rsidR="00F7547E" w:rsidRPr="00F7547E">
              <w:rPr>
                <w:rFonts w:ascii="Baskerville" w:hAnsi="Baskerville"/>
                <w:b/>
                <w:bCs/>
                <w:sz w:val="21"/>
                <w:szCs w:val="21"/>
              </w:rPr>
              <w:t>1.-</w:t>
            </w:r>
            <w:r w:rsidR="00F7547E" w:rsidRPr="00F7547E">
              <w:rPr>
                <w:rFonts w:ascii="Baskerville" w:hAnsi="Baskerville"/>
                <w:sz w:val="21"/>
                <w:szCs w:val="21"/>
              </w:rPr>
              <w:t xml:space="preserve"> </w:t>
            </w:r>
            <w:r w:rsidRPr="00F7547E">
              <w:rPr>
                <w:rFonts w:ascii="Baskerville" w:hAnsi="Baskerville"/>
                <w:sz w:val="21"/>
                <w:szCs w:val="21"/>
              </w:rPr>
              <w:t xml:space="preserve"> </w:t>
            </w:r>
            <w:r w:rsidR="00F7547E" w:rsidRPr="00F7547E">
              <w:rPr>
                <w:rFonts w:ascii="Baskerville" w:hAnsi="Baskerville"/>
                <w:sz w:val="21"/>
                <w:szCs w:val="21"/>
              </w:rPr>
              <w:t>S</w:t>
            </w:r>
            <w:r w:rsidRPr="00F7547E">
              <w:rPr>
                <w:rFonts w:ascii="Baskerville" w:hAnsi="Baskerville"/>
                <w:sz w:val="21"/>
                <w:szCs w:val="21"/>
              </w:rPr>
              <w:t>e sustituye el artículo 1 de la Ley 047</w:t>
            </w:r>
            <w:r w:rsidR="00F7547E">
              <w:rPr>
                <w:rFonts w:ascii="Baskerville" w:hAnsi="Baskerville"/>
                <w:sz w:val="21"/>
                <w:szCs w:val="21"/>
              </w:rPr>
              <w:t>, por el siguiente texto:</w:t>
            </w:r>
          </w:p>
          <w:p w14:paraId="23B2B420" w14:textId="0CA75988" w:rsidR="00A44115" w:rsidRPr="00F7547E" w:rsidRDefault="00A44115" w:rsidP="004A6DF0">
            <w:pPr>
              <w:pStyle w:val="NormalWeb"/>
              <w:shd w:val="clear" w:color="auto" w:fill="FFFFFF"/>
              <w:jc w:val="both"/>
            </w:pPr>
            <w:r w:rsidRPr="00F7547E">
              <w:rPr>
                <w:rFonts w:ascii="Baskerville" w:hAnsi="Baskerville" w:cs="Arial"/>
                <w:sz w:val="21"/>
                <w:szCs w:val="21"/>
              </w:rPr>
              <w:t>Art. 1.- A partir del año 1990, en el Presupuesto del Estado se establecerán</w:t>
            </w:r>
            <w:r w:rsidRPr="00590569">
              <w:rPr>
                <w:rFonts w:ascii="Baskerville" w:hAnsi="Baskerville" w:cs="Arial"/>
                <w:sz w:val="21"/>
                <w:szCs w:val="21"/>
              </w:rPr>
              <w:t xml:space="preserve"> en favor de las provincias de Azuay, Cañar, Morona Santiago y Tungurahua, asignaciones equivalentes al 5% de la facturación que por venta de energía a las Empresas Eléctricas efectúe</w:t>
            </w:r>
            <w:r w:rsidR="004A6DF0">
              <w:rPr>
                <w:rFonts w:ascii="Baskerville" w:hAnsi="Baskerville" w:cs="Arial"/>
                <w:sz w:val="21"/>
                <w:szCs w:val="21"/>
              </w:rPr>
              <w:t xml:space="preserve"> la Corporación Nacional de Electricidad, CNEL EP o la entidad que haga sus veces</w:t>
            </w:r>
            <w:r w:rsidRPr="00590569">
              <w:rPr>
                <w:rFonts w:ascii="Baskerville" w:hAnsi="Baskerville" w:cs="Arial"/>
                <w:sz w:val="21"/>
                <w:szCs w:val="21"/>
              </w:rPr>
              <w:t>, y que sea originaria de las Centrales Hidroeléctricas de Paute, Pisayambo y Agoyán.</w:t>
            </w:r>
          </w:p>
        </w:tc>
      </w:tr>
      <w:tr w:rsidR="00A44115" w:rsidRPr="00590569" w14:paraId="347AA0BF" w14:textId="19B4E6B3" w:rsidTr="00A44115">
        <w:tc>
          <w:tcPr>
            <w:tcW w:w="3686" w:type="dxa"/>
          </w:tcPr>
          <w:p w14:paraId="1EA16412" w14:textId="0A41F87F" w:rsidR="00A44115" w:rsidRPr="00590569" w:rsidRDefault="00AA6B0F" w:rsidP="004A6DF0">
            <w:pPr>
              <w:pStyle w:val="Sinespaciado"/>
              <w:jc w:val="both"/>
              <w:rPr>
                <w:rFonts w:ascii="Baskerville" w:hAnsi="Baskerville"/>
                <w:color w:val="000000"/>
                <w:sz w:val="21"/>
                <w:szCs w:val="21"/>
              </w:rPr>
            </w:pPr>
            <w:hyperlink r:id="rId5" w:history="1">
              <w:r w:rsidR="00A44115" w:rsidRPr="00590569">
                <w:rPr>
                  <w:rStyle w:val="Hipervnculo"/>
                  <w:rFonts w:ascii="Baskerville" w:hAnsi="Baskerville"/>
                  <w:b/>
                  <w:bCs/>
                  <w:color w:val="000000"/>
                  <w:sz w:val="21"/>
                  <w:szCs w:val="21"/>
                  <w:u w:val="none"/>
                  <w:lang w:val="es-ES"/>
                </w:rPr>
                <w:t>Art.2.-</w:t>
              </w:r>
            </w:hyperlink>
            <w:r w:rsidR="00A44115" w:rsidRPr="00590569">
              <w:rPr>
                <w:rFonts w:ascii="Baskerville" w:hAnsi="Baskerville"/>
                <w:b/>
                <w:bCs/>
                <w:color w:val="000000"/>
                <w:sz w:val="21"/>
                <w:szCs w:val="21"/>
                <w:lang w:val="es-ES"/>
              </w:rPr>
              <w:t> </w:t>
            </w:r>
            <w:r w:rsidR="00A44115" w:rsidRPr="00590569">
              <w:rPr>
                <w:rFonts w:ascii="Baskerville" w:hAnsi="Baskerville"/>
                <w:color w:val="000000"/>
                <w:sz w:val="21"/>
                <w:szCs w:val="21"/>
                <w:lang w:val="es-ES"/>
              </w:rPr>
              <w:t>La asignación</w:t>
            </w:r>
            <w:r w:rsidR="00A44115">
              <w:rPr>
                <w:rFonts w:ascii="Baskerville" w:hAnsi="Baskerville"/>
                <w:color w:val="000000"/>
                <w:sz w:val="21"/>
                <w:szCs w:val="21"/>
                <w:lang w:val="es-ES"/>
              </w:rPr>
              <w:t xml:space="preserve"> </w:t>
            </w:r>
            <w:r w:rsidR="00A44115" w:rsidRPr="00590569">
              <w:rPr>
                <w:rFonts w:ascii="Baskerville" w:hAnsi="Baskerville"/>
                <w:color w:val="000000"/>
                <w:sz w:val="21"/>
                <w:szCs w:val="21"/>
                <w:lang w:val="es-ES"/>
              </w:rPr>
              <w:t>contemplada en el Presupuesto del Estado y calculada, sobre la base de la venta de energía de la Central Hidroeléctrica Paute, será transferida por el Ministerio de Finanzas y Crédito Público, de conformidad con las disposiciones de la Ley Orgánica de Administración Financiera y Control, de la siguiente forma:</w:t>
            </w:r>
          </w:p>
          <w:p w14:paraId="3088B991" w14:textId="77777777" w:rsidR="00A44115" w:rsidRPr="00590569" w:rsidRDefault="00A44115" w:rsidP="004A6DF0">
            <w:pPr>
              <w:pStyle w:val="Sinespaciado"/>
              <w:jc w:val="both"/>
              <w:rPr>
                <w:rFonts w:ascii="Baskerville" w:hAnsi="Baskerville"/>
                <w:color w:val="000000"/>
                <w:sz w:val="21"/>
                <w:szCs w:val="21"/>
              </w:rPr>
            </w:pPr>
            <w:r w:rsidRPr="00590569">
              <w:rPr>
                <w:rFonts w:ascii="Baskerville" w:hAnsi="Baskerville"/>
                <w:color w:val="000000"/>
                <w:sz w:val="21"/>
                <w:szCs w:val="21"/>
                <w:lang w:val="es-ES"/>
              </w:rPr>
              <w:br/>
              <w:t xml:space="preserve">- 60% en partes iguales entre los </w:t>
            </w:r>
            <w:r w:rsidRPr="00590569">
              <w:rPr>
                <w:rFonts w:ascii="Baskerville" w:hAnsi="Baskerville"/>
                <w:color w:val="000000"/>
                <w:sz w:val="21"/>
                <w:szCs w:val="21"/>
                <w:lang w:val="es-ES"/>
              </w:rPr>
              <w:lastRenderedPageBreak/>
              <w:t>Municipios de Azuay, Cañar y Morona Santiago, organismos que utilizarán estos recursos exclusivamente en la realización de obras de infraestructura; y,</w:t>
            </w:r>
          </w:p>
          <w:p w14:paraId="0843BDE8" w14:textId="77777777" w:rsidR="00A44115" w:rsidRPr="00590569" w:rsidRDefault="00A44115" w:rsidP="004A6DF0">
            <w:pPr>
              <w:pStyle w:val="Sinespaciado"/>
              <w:jc w:val="both"/>
              <w:rPr>
                <w:rFonts w:ascii="Baskerville" w:hAnsi="Baskerville"/>
                <w:color w:val="000000"/>
                <w:sz w:val="21"/>
                <w:szCs w:val="21"/>
              </w:rPr>
            </w:pPr>
            <w:r w:rsidRPr="00590569">
              <w:rPr>
                <w:rFonts w:ascii="Baskerville" w:hAnsi="Baskerville"/>
                <w:color w:val="000000"/>
                <w:sz w:val="21"/>
                <w:szCs w:val="21"/>
                <w:lang w:val="es-ES"/>
              </w:rPr>
              <w:br/>
              <w:t xml:space="preserve">- 40% para el Centro de Reconversión Económica del Azuay, Cañar y Morona Santiago (CREA), entidad que deberá invertir el 80% de estos recursos en </w:t>
            </w:r>
            <w:proofErr w:type="gramStart"/>
            <w:r w:rsidRPr="00590569">
              <w:rPr>
                <w:rFonts w:ascii="Baskerville" w:hAnsi="Baskerville"/>
                <w:color w:val="000000"/>
                <w:sz w:val="21"/>
                <w:szCs w:val="21"/>
                <w:lang w:val="es-ES"/>
              </w:rPr>
              <w:t>al ejecución</w:t>
            </w:r>
            <w:proofErr w:type="gramEnd"/>
            <w:r w:rsidRPr="00590569">
              <w:rPr>
                <w:rFonts w:ascii="Baskerville" w:hAnsi="Baskerville"/>
                <w:color w:val="000000"/>
                <w:sz w:val="21"/>
                <w:szCs w:val="21"/>
                <w:lang w:val="es-ES"/>
              </w:rPr>
              <w:t xml:space="preserve"> de obras y el 20% restante en programas de forestación y reforestación en la cuenca del río Paute.</w:t>
            </w:r>
          </w:p>
          <w:p w14:paraId="01716BF4" w14:textId="77777777" w:rsidR="00A44115" w:rsidRPr="00590569" w:rsidRDefault="00A44115" w:rsidP="004A6DF0">
            <w:pPr>
              <w:pStyle w:val="Sinespaciado"/>
              <w:jc w:val="both"/>
              <w:rPr>
                <w:rFonts w:ascii="Baskerville" w:hAnsi="Baskerville"/>
                <w:i/>
                <w:iCs/>
                <w:sz w:val="21"/>
                <w:szCs w:val="21"/>
              </w:rPr>
            </w:pPr>
          </w:p>
        </w:tc>
        <w:tc>
          <w:tcPr>
            <w:tcW w:w="3686" w:type="dxa"/>
          </w:tcPr>
          <w:p w14:paraId="60912DA5" w14:textId="7C8E7FF8" w:rsidR="00A44115" w:rsidRDefault="00A44115" w:rsidP="004A6DF0">
            <w:pPr>
              <w:pStyle w:val="Sinespaciado"/>
              <w:jc w:val="both"/>
              <w:rPr>
                <w:rFonts w:ascii="Baskerville" w:hAnsi="Baskerville" w:cs="Arial"/>
                <w:sz w:val="21"/>
                <w:szCs w:val="21"/>
              </w:rPr>
            </w:pPr>
            <w:r w:rsidRPr="00590569">
              <w:rPr>
                <w:rFonts w:ascii="Baskerville" w:hAnsi="Baskerville" w:cs="Arial"/>
                <w:sz w:val="21"/>
                <w:szCs w:val="21"/>
              </w:rPr>
              <w:lastRenderedPageBreak/>
              <w:t xml:space="preserve">Se sustituye el artículo 2 de la Ley 047, por la siguiente. </w:t>
            </w:r>
          </w:p>
          <w:p w14:paraId="01D03ACB" w14:textId="77777777" w:rsidR="00F7547E" w:rsidRPr="00590569" w:rsidRDefault="00F7547E" w:rsidP="004A6DF0">
            <w:pPr>
              <w:pStyle w:val="Sinespaciado"/>
              <w:jc w:val="both"/>
              <w:rPr>
                <w:rFonts w:ascii="Baskerville" w:hAnsi="Baskerville"/>
                <w:sz w:val="21"/>
                <w:szCs w:val="21"/>
              </w:rPr>
            </w:pPr>
          </w:p>
          <w:p w14:paraId="1E5F042D" w14:textId="2A497EC6" w:rsidR="00A44115" w:rsidRPr="00590569" w:rsidRDefault="00A44115" w:rsidP="004A6DF0">
            <w:pPr>
              <w:pStyle w:val="Sinespaciado"/>
              <w:jc w:val="both"/>
              <w:rPr>
                <w:rFonts w:ascii="Baskerville" w:hAnsi="Baskerville"/>
                <w:sz w:val="21"/>
                <w:szCs w:val="21"/>
              </w:rPr>
            </w:pPr>
            <w:r w:rsidRPr="00590569">
              <w:rPr>
                <w:rFonts w:ascii="Baskerville" w:hAnsi="Baskerville" w:cs="Arial"/>
                <w:sz w:val="21"/>
                <w:szCs w:val="21"/>
              </w:rPr>
              <w:t xml:space="preserve">Art. 2.- La asignación contemplada en el Presupuesto del Estado y calculada, sobre la base de la venta de energía de la Centrales Hidroeléctricas de Paute, será transferida en su totalidad por el </w:t>
            </w:r>
            <w:r w:rsidRPr="00590569">
              <w:rPr>
                <w:rFonts w:ascii="Baskerville" w:hAnsi="Baskerville"/>
                <w:sz w:val="21"/>
                <w:szCs w:val="21"/>
              </w:rPr>
              <w:t xml:space="preserve">Ministerio de Economía y Finanzas, de conformidad a lo dispuesto en el Código Orgánico de Planificación y Finanzas </w:t>
            </w:r>
            <w:r w:rsidRPr="00590569">
              <w:rPr>
                <w:rFonts w:ascii="Baskerville" w:hAnsi="Baskerville"/>
                <w:sz w:val="21"/>
                <w:szCs w:val="21"/>
              </w:rPr>
              <w:lastRenderedPageBreak/>
              <w:t xml:space="preserve">Públicas, a los Gobiernos Autónomos Descentralizados de las provincias señaladas, de la siguiente manera: </w:t>
            </w:r>
          </w:p>
          <w:p w14:paraId="3E2FF0FD" w14:textId="77777777" w:rsidR="00A44115" w:rsidRPr="00590569" w:rsidRDefault="00A44115" w:rsidP="004A6DF0">
            <w:pPr>
              <w:pStyle w:val="Sinespaciado"/>
              <w:jc w:val="both"/>
              <w:rPr>
                <w:rFonts w:ascii="Baskerville" w:hAnsi="Baskerville"/>
                <w:sz w:val="21"/>
                <w:szCs w:val="21"/>
              </w:rPr>
            </w:pPr>
            <w:r w:rsidRPr="00590569">
              <w:rPr>
                <w:rFonts w:ascii="Baskerville" w:hAnsi="Baskerville"/>
                <w:sz w:val="21"/>
                <w:szCs w:val="21"/>
              </w:rPr>
              <w:t xml:space="preserve">- 20% en partes iguales entre los Gobiernos Autónomos Descentralizados Provinciales de Azuay, Cañar y Morona Santiago; </w:t>
            </w:r>
          </w:p>
          <w:p w14:paraId="37871B9A" w14:textId="77777777" w:rsidR="00A44115" w:rsidRPr="00590569" w:rsidRDefault="00A44115" w:rsidP="004A6DF0">
            <w:pPr>
              <w:pStyle w:val="Sinespaciado"/>
              <w:jc w:val="both"/>
              <w:rPr>
                <w:rFonts w:ascii="Baskerville" w:hAnsi="Baskerville"/>
                <w:sz w:val="21"/>
                <w:szCs w:val="21"/>
              </w:rPr>
            </w:pPr>
            <w:r w:rsidRPr="00590569">
              <w:rPr>
                <w:rFonts w:ascii="Baskerville" w:hAnsi="Baskerville"/>
                <w:sz w:val="21"/>
                <w:szCs w:val="21"/>
              </w:rPr>
              <w:t xml:space="preserve">- 20% en partes iguales entre a los Gobiernos Autónomos Descentralizados Parroquiales de Azuay, Cañar y Morona Santiago; y </w:t>
            </w:r>
          </w:p>
          <w:p w14:paraId="0BC61F0A" w14:textId="77777777" w:rsidR="00A44115" w:rsidRPr="00590569" w:rsidRDefault="00A44115" w:rsidP="004A6DF0">
            <w:pPr>
              <w:pStyle w:val="Sinespaciado"/>
              <w:jc w:val="both"/>
              <w:rPr>
                <w:rFonts w:ascii="Baskerville" w:hAnsi="Baskerville"/>
                <w:sz w:val="21"/>
                <w:szCs w:val="21"/>
              </w:rPr>
            </w:pPr>
            <w:r w:rsidRPr="00590569">
              <w:rPr>
                <w:rFonts w:ascii="Baskerville" w:hAnsi="Baskerville"/>
                <w:sz w:val="21"/>
                <w:szCs w:val="21"/>
              </w:rPr>
              <w:t xml:space="preserve">- 60% en partes iguales entre los a los Gobiernos Autónomos Descentralizados Municipales de Azuay, Cañar y Morona Santiago. Los Gobiernos Autónomos Descentralizados beneficiados </w:t>
            </w:r>
          </w:p>
          <w:p w14:paraId="774726A3" w14:textId="171EF0A8" w:rsidR="00A44115" w:rsidRPr="00590569" w:rsidRDefault="00A44115" w:rsidP="004A6DF0">
            <w:pPr>
              <w:pStyle w:val="Sinespaciado"/>
              <w:jc w:val="both"/>
              <w:rPr>
                <w:rFonts w:ascii="Baskerville" w:hAnsi="Baskerville"/>
                <w:sz w:val="21"/>
                <w:szCs w:val="21"/>
              </w:rPr>
            </w:pPr>
            <w:r w:rsidRPr="00590569">
              <w:rPr>
                <w:rFonts w:ascii="Baskerville" w:hAnsi="Baskerville"/>
                <w:sz w:val="21"/>
                <w:szCs w:val="21"/>
              </w:rPr>
              <w:t>utilizarán estos exclusivamente en la realización de obras de infraestructura; y, en programas de forestación, reforestación, cuidado, saneamiento y remediación ambiental y acuífera</w:t>
            </w:r>
          </w:p>
        </w:tc>
        <w:tc>
          <w:tcPr>
            <w:tcW w:w="3685" w:type="dxa"/>
          </w:tcPr>
          <w:p w14:paraId="3412EFD0" w14:textId="77777777" w:rsidR="00A44115" w:rsidRPr="00590569" w:rsidRDefault="00A44115" w:rsidP="004A6DF0">
            <w:pPr>
              <w:pStyle w:val="Sinespaciado"/>
              <w:jc w:val="both"/>
              <w:rPr>
                <w:rFonts w:ascii="Baskerville" w:hAnsi="Baskerville"/>
                <w:sz w:val="21"/>
                <w:szCs w:val="21"/>
              </w:rPr>
            </w:pPr>
            <w:r w:rsidRPr="00590569">
              <w:rPr>
                <w:rFonts w:ascii="Baskerville" w:hAnsi="Baskerville"/>
                <w:b/>
                <w:bCs/>
                <w:sz w:val="21"/>
                <w:szCs w:val="21"/>
              </w:rPr>
              <w:lastRenderedPageBreak/>
              <w:t xml:space="preserve">Art. 2.- </w:t>
            </w:r>
            <w:r w:rsidRPr="00590569">
              <w:rPr>
                <w:rFonts w:ascii="Baskerville" w:hAnsi="Baskerville"/>
                <w:sz w:val="21"/>
                <w:szCs w:val="21"/>
              </w:rPr>
              <w:t xml:space="preserve">La asignación contemplada en el Presupuesto del Estado y calculada sobre la base de la </w:t>
            </w:r>
            <w:r w:rsidRPr="00F46586">
              <w:rPr>
                <w:rFonts w:ascii="Baskerville" w:hAnsi="Baskerville"/>
                <w:sz w:val="21"/>
                <w:szCs w:val="21"/>
              </w:rPr>
              <w:t>venta de energía de las centrales hidroeléctricas de las provincias de Azuay, Cañar y Morona Santiago, será transferida directamente por el Ministerio rector de las Finanzas Públicas, de conformidad con las disposiciones legales aplicables,</w:t>
            </w:r>
            <w:r w:rsidRPr="00590569">
              <w:rPr>
                <w:rFonts w:ascii="Baskerville" w:hAnsi="Baskerville"/>
                <w:sz w:val="21"/>
                <w:szCs w:val="21"/>
              </w:rPr>
              <w:t xml:space="preserve"> de la siguiente forma: </w:t>
            </w:r>
          </w:p>
          <w:p w14:paraId="5586D7CD" w14:textId="2F0EC7AD" w:rsidR="00A44115" w:rsidRPr="00F46586" w:rsidRDefault="00A44115" w:rsidP="004A6DF0">
            <w:pPr>
              <w:pStyle w:val="Sinespaciado"/>
              <w:jc w:val="both"/>
              <w:rPr>
                <w:rFonts w:ascii="Baskerville" w:hAnsi="Baskerville"/>
                <w:sz w:val="21"/>
                <w:szCs w:val="21"/>
              </w:rPr>
            </w:pPr>
            <w:r w:rsidRPr="00590569">
              <w:rPr>
                <w:rFonts w:ascii="Baskerville" w:hAnsi="Baskerville"/>
                <w:sz w:val="21"/>
                <w:szCs w:val="21"/>
              </w:rPr>
              <w:t xml:space="preserve">- </w:t>
            </w:r>
            <w:r w:rsidRPr="00590569">
              <w:rPr>
                <w:rFonts w:ascii="Baskerville" w:hAnsi="Baskerville"/>
                <w:b/>
                <w:bCs/>
                <w:sz w:val="21"/>
                <w:szCs w:val="21"/>
              </w:rPr>
              <w:t xml:space="preserve">75% </w:t>
            </w:r>
            <w:r w:rsidRPr="00590569">
              <w:rPr>
                <w:rFonts w:ascii="Baskerville" w:hAnsi="Baskerville"/>
                <w:sz w:val="21"/>
                <w:szCs w:val="21"/>
              </w:rPr>
              <w:t xml:space="preserve">en </w:t>
            </w:r>
            <w:r w:rsidRPr="00F46586">
              <w:rPr>
                <w:rFonts w:ascii="Baskerville" w:hAnsi="Baskerville"/>
                <w:sz w:val="21"/>
                <w:szCs w:val="21"/>
              </w:rPr>
              <w:t xml:space="preserve">partes iguales entre los gobiernos autónomos descentralizados municipales </w:t>
            </w:r>
            <w:r w:rsidRPr="00F46586">
              <w:rPr>
                <w:rFonts w:ascii="Baskerville" w:hAnsi="Baskerville"/>
                <w:sz w:val="21"/>
                <w:szCs w:val="21"/>
              </w:rPr>
              <w:lastRenderedPageBreak/>
              <w:t xml:space="preserve">de Azuay, Cañar y Morona Santiago, organismos que utilizarán estos recursos exclusivamente en la realización de obras de infraestructura; y, </w:t>
            </w:r>
          </w:p>
          <w:p w14:paraId="3111BA20" w14:textId="77777777" w:rsidR="00A44115" w:rsidRPr="00F46586" w:rsidRDefault="00A44115" w:rsidP="004A6DF0">
            <w:pPr>
              <w:pStyle w:val="Sinespaciado"/>
              <w:jc w:val="both"/>
              <w:rPr>
                <w:rFonts w:ascii="Baskerville" w:hAnsi="Baskerville"/>
                <w:sz w:val="21"/>
                <w:szCs w:val="21"/>
              </w:rPr>
            </w:pPr>
            <w:r w:rsidRPr="00F46586">
              <w:rPr>
                <w:rFonts w:ascii="Baskerville" w:hAnsi="Baskerville"/>
                <w:sz w:val="21"/>
                <w:szCs w:val="21"/>
              </w:rPr>
              <w:t xml:space="preserve">(Suprimido) </w:t>
            </w:r>
          </w:p>
          <w:p w14:paraId="101E319F" w14:textId="77777777" w:rsidR="00A44115" w:rsidRPr="00F46586" w:rsidRDefault="00A44115" w:rsidP="004A6DF0">
            <w:pPr>
              <w:pStyle w:val="Sinespaciado"/>
              <w:jc w:val="both"/>
              <w:rPr>
                <w:rFonts w:ascii="Baskerville" w:hAnsi="Baskerville"/>
                <w:sz w:val="21"/>
                <w:szCs w:val="21"/>
              </w:rPr>
            </w:pPr>
            <w:r w:rsidRPr="00F46586">
              <w:rPr>
                <w:rFonts w:ascii="Baskerville" w:hAnsi="Baskerville"/>
                <w:sz w:val="21"/>
                <w:szCs w:val="21"/>
              </w:rPr>
              <w:t xml:space="preserve">- 25% en partes iguales entre los gobiernos autónomos descentralizados parroquiales de Azuay, Cañar y Morona Santiago. </w:t>
            </w:r>
          </w:p>
          <w:p w14:paraId="7FA2217D" w14:textId="77777777" w:rsidR="00A44115" w:rsidRPr="00590569" w:rsidRDefault="00A44115" w:rsidP="004A6DF0">
            <w:pPr>
              <w:pStyle w:val="Sinespaciado"/>
              <w:jc w:val="both"/>
              <w:rPr>
                <w:rFonts w:ascii="Baskerville" w:hAnsi="Baskerville"/>
                <w:i/>
                <w:iCs/>
                <w:sz w:val="21"/>
                <w:szCs w:val="21"/>
              </w:rPr>
            </w:pPr>
          </w:p>
        </w:tc>
        <w:tc>
          <w:tcPr>
            <w:tcW w:w="4253" w:type="dxa"/>
          </w:tcPr>
          <w:p w14:paraId="591A08BF" w14:textId="791D493E" w:rsidR="00F7547E" w:rsidRPr="00F8120A" w:rsidRDefault="00F7547E" w:rsidP="004A6DF0">
            <w:pPr>
              <w:pStyle w:val="NormalWeb"/>
              <w:shd w:val="clear" w:color="auto" w:fill="FFFFFF"/>
              <w:jc w:val="both"/>
              <w:rPr>
                <w:rFonts w:ascii="Baskerville" w:hAnsi="Baskerville"/>
                <w:sz w:val="21"/>
                <w:szCs w:val="21"/>
              </w:rPr>
            </w:pPr>
            <w:r w:rsidRPr="00DA2A21">
              <w:rPr>
                <w:rFonts w:ascii="Baskerville" w:hAnsi="Baskerville"/>
                <w:b/>
                <w:bCs/>
                <w:sz w:val="21"/>
                <w:szCs w:val="21"/>
              </w:rPr>
              <w:lastRenderedPageBreak/>
              <w:t>Artículo 2.-</w:t>
            </w:r>
            <w:r w:rsidRPr="00F8120A">
              <w:rPr>
                <w:rFonts w:ascii="Baskerville" w:hAnsi="Baskerville"/>
                <w:sz w:val="21"/>
                <w:szCs w:val="21"/>
              </w:rPr>
              <w:t xml:space="preserve">  Se sustituye el artículo 2 de la Ley 047, por el siguiente texto:</w:t>
            </w:r>
          </w:p>
          <w:p w14:paraId="11C89E9F" w14:textId="6C17044C" w:rsidR="00A44115" w:rsidRDefault="00A44115" w:rsidP="004A6DF0">
            <w:pPr>
              <w:pStyle w:val="Sinespaciado"/>
              <w:jc w:val="both"/>
              <w:rPr>
                <w:rFonts w:ascii="Baskerville" w:hAnsi="Baskerville"/>
                <w:sz w:val="21"/>
                <w:szCs w:val="21"/>
              </w:rPr>
            </w:pPr>
            <w:r w:rsidRPr="00F8120A">
              <w:rPr>
                <w:rFonts w:ascii="Baskerville" w:hAnsi="Baskerville"/>
                <w:sz w:val="21"/>
                <w:szCs w:val="21"/>
              </w:rPr>
              <w:t xml:space="preserve">Art. 2.- La asignación contemplada en el Presupuesto del Estado y calculada sobre la base de la venta de energía de las centrales hidroeléctricas de las provincias de Azuay, Cañar y Morona Santiago, será transferida directamente por el Ministerio rector de las Finanzas Públicas, de conformidad con las disposiciones legales aplicables, de la siguiente forma: </w:t>
            </w:r>
          </w:p>
          <w:p w14:paraId="4A0CD052" w14:textId="77777777" w:rsidR="00F8120A" w:rsidRPr="00F8120A" w:rsidRDefault="00F8120A" w:rsidP="004A6DF0">
            <w:pPr>
              <w:pStyle w:val="Sinespaciado"/>
              <w:jc w:val="both"/>
              <w:rPr>
                <w:rFonts w:ascii="Baskerville" w:hAnsi="Baskerville"/>
                <w:sz w:val="21"/>
                <w:szCs w:val="21"/>
              </w:rPr>
            </w:pPr>
          </w:p>
          <w:p w14:paraId="56FA7357" w14:textId="0E3E6F5D" w:rsidR="00E269A1" w:rsidRDefault="00E269A1" w:rsidP="00E269A1">
            <w:pPr>
              <w:pStyle w:val="Sinespaciado"/>
              <w:jc w:val="both"/>
              <w:rPr>
                <w:rFonts w:ascii="Baskerville" w:hAnsi="Baskerville"/>
                <w:sz w:val="21"/>
                <w:szCs w:val="21"/>
              </w:rPr>
            </w:pPr>
            <w:r w:rsidRPr="00590569">
              <w:rPr>
                <w:rFonts w:ascii="Baskerville" w:hAnsi="Baskerville"/>
                <w:sz w:val="21"/>
                <w:szCs w:val="21"/>
              </w:rPr>
              <w:t xml:space="preserve">- </w:t>
            </w:r>
            <w:commentRangeStart w:id="0"/>
            <w:r w:rsidRPr="00590569">
              <w:rPr>
                <w:rFonts w:ascii="Baskerville" w:hAnsi="Baskerville"/>
                <w:sz w:val="21"/>
                <w:szCs w:val="21"/>
              </w:rPr>
              <w:t xml:space="preserve">20% </w:t>
            </w:r>
            <w:commentRangeEnd w:id="0"/>
            <w:r w:rsidR="00E4003E">
              <w:rPr>
                <w:rStyle w:val="Refdecomentario"/>
              </w:rPr>
              <w:commentReference w:id="0"/>
            </w:r>
            <w:r w:rsidRPr="00590569">
              <w:rPr>
                <w:rFonts w:ascii="Baskerville" w:hAnsi="Baskerville"/>
                <w:sz w:val="21"/>
                <w:szCs w:val="21"/>
              </w:rPr>
              <w:t xml:space="preserve">en partes iguales entre los Gobiernos Autónomos Descentralizados Provinciales de Azuay, Cañar y Morona Santiago; </w:t>
            </w:r>
          </w:p>
          <w:p w14:paraId="0C42F1EB" w14:textId="77777777" w:rsidR="00E269A1" w:rsidRPr="00590569" w:rsidRDefault="00E269A1" w:rsidP="00E269A1">
            <w:pPr>
              <w:pStyle w:val="Sinespaciado"/>
              <w:jc w:val="both"/>
              <w:rPr>
                <w:rFonts w:ascii="Baskerville" w:hAnsi="Baskerville"/>
                <w:sz w:val="21"/>
                <w:szCs w:val="21"/>
              </w:rPr>
            </w:pPr>
          </w:p>
          <w:p w14:paraId="6127BAED" w14:textId="7F478182" w:rsidR="00E269A1" w:rsidRDefault="00E269A1" w:rsidP="00E269A1">
            <w:pPr>
              <w:pStyle w:val="Sinespaciado"/>
              <w:jc w:val="both"/>
              <w:rPr>
                <w:rFonts w:ascii="Baskerville" w:hAnsi="Baskerville"/>
                <w:sz w:val="21"/>
                <w:szCs w:val="21"/>
              </w:rPr>
            </w:pPr>
            <w:commentRangeStart w:id="1"/>
            <w:r w:rsidRPr="00590569">
              <w:rPr>
                <w:rFonts w:ascii="Baskerville" w:hAnsi="Baskerville"/>
                <w:sz w:val="21"/>
                <w:szCs w:val="21"/>
              </w:rPr>
              <w:t xml:space="preserve">- 20% </w:t>
            </w:r>
            <w:commentRangeEnd w:id="1"/>
            <w:r w:rsidR="00900EAF">
              <w:rPr>
                <w:rStyle w:val="Refdecomentario"/>
              </w:rPr>
              <w:commentReference w:id="1"/>
            </w:r>
            <w:r w:rsidRPr="00590569">
              <w:rPr>
                <w:rFonts w:ascii="Baskerville" w:hAnsi="Baskerville"/>
                <w:sz w:val="21"/>
                <w:szCs w:val="21"/>
              </w:rPr>
              <w:t xml:space="preserve">en partes iguales entre a los Gobiernos Autónomos Descentralizados Parroquiales de Azuay, Cañar y Morona Santiago; y </w:t>
            </w:r>
          </w:p>
          <w:p w14:paraId="754060D1" w14:textId="77777777" w:rsidR="00E269A1" w:rsidRPr="00590569" w:rsidRDefault="00E269A1" w:rsidP="00E269A1">
            <w:pPr>
              <w:pStyle w:val="Sinespaciado"/>
              <w:jc w:val="both"/>
              <w:rPr>
                <w:rFonts w:ascii="Baskerville" w:hAnsi="Baskerville"/>
                <w:sz w:val="21"/>
                <w:szCs w:val="21"/>
              </w:rPr>
            </w:pPr>
          </w:p>
          <w:p w14:paraId="62A78C6F" w14:textId="77777777" w:rsidR="00E269A1" w:rsidRDefault="00E269A1" w:rsidP="00E269A1">
            <w:pPr>
              <w:pStyle w:val="Sinespaciado"/>
              <w:jc w:val="both"/>
              <w:rPr>
                <w:rFonts w:ascii="Baskerville" w:hAnsi="Baskerville"/>
                <w:sz w:val="21"/>
                <w:szCs w:val="21"/>
              </w:rPr>
            </w:pPr>
            <w:r w:rsidRPr="00590569">
              <w:rPr>
                <w:rFonts w:ascii="Baskerville" w:hAnsi="Baskerville"/>
                <w:sz w:val="21"/>
                <w:szCs w:val="21"/>
              </w:rPr>
              <w:t>- 60% en partes iguales entre los a los Gobiernos Autónomos Descentralizados Municipales de Azuay, Cañar y Morona Santiago.</w:t>
            </w:r>
          </w:p>
          <w:p w14:paraId="739DF7F5" w14:textId="77777777" w:rsidR="00E269A1" w:rsidRDefault="00E269A1" w:rsidP="00E269A1">
            <w:pPr>
              <w:pStyle w:val="Sinespaciado"/>
              <w:jc w:val="both"/>
              <w:rPr>
                <w:rFonts w:ascii="Baskerville" w:hAnsi="Baskerville"/>
                <w:sz w:val="21"/>
                <w:szCs w:val="21"/>
              </w:rPr>
            </w:pPr>
          </w:p>
          <w:p w14:paraId="40144D0D" w14:textId="50C368F2" w:rsidR="00A44115" w:rsidRPr="00F8120A" w:rsidRDefault="00A44115" w:rsidP="00E269A1">
            <w:pPr>
              <w:pStyle w:val="Sinespaciado"/>
              <w:jc w:val="both"/>
              <w:rPr>
                <w:rFonts w:ascii="Baskerville" w:hAnsi="Baskerville"/>
                <w:sz w:val="21"/>
                <w:szCs w:val="21"/>
              </w:rPr>
            </w:pPr>
            <w:commentRangeStart w:id="2"/>
            <w:r w:rsidRPr="00F8120A">
              <w:rPr>
                <w:rFonts w:ascii="Baskerville" w:hAnsi="Baskerville"/>
                <w:sz w:val="21"/>
                <w:szCs w:val="21"/>
              </w:rPr>
              <w:t xml:space="preserve">Los Gobiernos Autónomos Desentralizados utilizarán estos recursos exclusivamente en la realización de obras de </w:t>
            </w:r>
            <w:proofErr w:type="gramStart"/>
            <w:r w:rsidRPr="00F8120A">
              <w:rPr>
                <w:rFonts w:ascii="Baskerville" w:hAnsi="Baskerville"/>
                <w:sz w:val="21"/>
                <w:szCs w:val="21"/>
              </w:rPr>
              <w:t>infraestructura,  en</w:t>
            </w:r>
            <w:proofErr w:type="gramEnd"/>
            <w:r w:rsidRPr="00F8120A">
              <w:rPr>
                <w:rFonts w:ascii="Baskerville" w:hAnsi="Baskerville"/>
                <w:sz w:val="21"/>
                <w:szCs w:val="21"/>
              </w:rPr>
              <w:t xml:space="preserve"> programas de forestación, reforestación, cuidado, saneamiento y </w:t>
            </w:r>
            <w:proofErr w:type="spellStart"/>
            <w:r w:rsidRPr="00F8120A">
              <w:rPr>
                <w:rFonts w:ascii="Baskerville" w:hAnsi="Baskerville"/>
                <w:sz w:val="21"/>
                <w:szCs w:val="21"/>
              </w:rPr>
              <w:t>remediación</w:t>
            </w:r>
            <w:proofErr w:type="spellEnd"/>
            <w:r w:rsidRPr="00F8120A">
              <w:rPr>
                <w:rFonts w:ascii="Baskerville" w:hAnsi="Baskerville"/>
                <w:sz w:val="21"/>
                <w:szCs w:val="21"/>
              </w:rPr>
              <w:t xml:space="preserve"> ambiental y </w:t>
            </w:r>
            <w:proofErr w:type="spellStart"/>
            <w:r w:rsidRPr="00F8120A">
              <w:rPr>
                <w:rFonts w:ascii="Baskerville" w:hAnsi="Baskerville"/>
                <w:sz w:val="21"/>
                <w:szCs w:val="21"/>
              </w:rPr>
              <w:t>acuífera</w:t>
            </w:r>
            <w:commentRangeEnd w:id="2"/>
            <w:proofErr w:type="spellEnd"/>
            <w:r w:rsidR="00E4003E">
              <w:rPr>
                <w:rStyle w:val="Refdecomentario"/>
              </w:rPr>
              <w:commentReference w:id="2"/>
            </w:r>
            <w:r w:rsidRPr="00F8120A">
              <w:rPr>
                <w:rFonts w:ascii="Baskerville" w:hAnsi="Baskerville"/>
                <w:sz w:val="21"/>
                <w:szCs w:val="21"/>
              </w:rPr>
              <w:t>.</w:t>
            </w:r>
          </w:p>
          <w:p w14:paraId="4C0327E9" w14:textId="77777777" w:rsidR="00A44115" w:rsidRPr="00F8120A" w:rsidRDefault="00A44115" w:rsidP="004A6DF0">
            <w:pPr>
              <w:pStyle w:val="Sinespaciado"/>
              <w:jc w:val="both"/>
              <w:rPr>
                <w:rFonts w:ascii="Baskerville" w:hAnsi="Baskerville"/>
                <w:sz w:val="21"/>
                <w:szCs w:val="21"/>
              </w:rPr>
            </w:pPr>
          </w:p>
        </w:tc>
      </w:tr>
      <w:tr w:rsidR="00A44115" w:rsidRPr="00590569" w14:paraId="15DBF5A4" w14:textId="301EE90B" w:rsidTr="00A44115">
        <w:tc>
          <w:tcPr>
            <w:tcW w:w="3686" w:type="dxa"/>
          </w:tcPr>
          <w:p w14:paraId="68EF8198" w14:textId="77777777" w:rsidR="00A44115" w:rsidRPr="00590569" w:rsidRDefault="00AA6B0F" w:rsidP="004A6DF0">
            <w:pPr>
              <w:pStyle w:val="Sinespaciado"/>
              <w:jc w:val="both"/>
              <w:rPr>
                <w:rFonts w:ascii="Baskerville" w:hAnsi="Baskerville"/>
                <w:color w:val="000000"/>
                <w:sz w:val="21"/>
                <w:szCs w:val="21"/>
              </w:rPr>
            </w:pPr>
            <w:hyperlink r:id="rId10" w:history="1">
              <w:r w:rsidR="00A44115" w:rsidRPr="005B415A">
                <w:rPr>
                  <w:rStyle w:val="Hipervnculo"/>
                  <w:rFonts w:ascii="Baskerville" w:hAnsi="Baskerville"/>
                  <w:b/>
                  <w:bCs/>
                  <w:color w:val="000000"/>
                  <w:sz w:val="21"/>
                  <w:szCs w:val="21"/>
                  <w:u w:val="none"/>
                  <w:lang w:val="es-ES"/>
                </w:rPr>
                <w:t>Art. 3.-</w:t>
              </w:r>
            </w:hyperlink>
            <w:r w:rsidR="00A44115" w:rsidRPr="00590569">
              <w:rPr>
                <w:rFonts w:ascii="Baskerville" w:hAnsi="Baskerville"/>
                <w:b/>
                <w:bCs/>
                <w:color w:val="000000"/>
                <w:sz w:val="21"/>
                <w:szCs w:val="21"/>
                <w:lang w:val="es-ES"/>
              </w:rPr>
              <w:t> </w:t>
            </w:r>
            <w:r w:rsidR="00A44115" w:rsidRPr="00590569">
              <w:rPr>
                <w:rFonts w:ascii="Baskerville" w:hAnsi="Baskerville"/>
                <w:color w:val="000000"/>
                <w:sz w:val="21"/>
                <w:szCs w:val="21"/>
                <w:lang w:val="es-ES"/>
              </w:rPr>
              <w:t xml:space="preserve">La asignación contemplada en el Presupuesto del Estado, y calculada sobre la base de la venta de energía de las Centrales Hidroeléctricas de </w:t>
            </w:r>
            <w:proofErr w:type="spellStart"/>
            <w:r w:rsidR="00A44115" w:rsidRPr="00590569">
              <w:rPr>
                <w:rFonts w:ascii="Baskerville" w:hAnsi="Baskerville"/>
                <w:color w:val="000000"/>
                <w:sz w:val="21"/>
                <w:szCs w:val="21"/>
                <w:lang w:val="es-ES"/>
              </w:rPr>
              <w:t>Pisayambo</w:t>
            </w:r>
            <w:proofErr w:type="spellEnd"/>
            <w:r w:rsidR="00A44115" w:rsidRPr="00590569">
              <w:rPr>
                <w:rFonts w:ascii="Baskerville" w:hAnsi="Baskerville"/>
                <w:color w:val="000000"/>
                <w:sz w:val="21"/>
                <w:szCs w:val="21"/>
                <w:lang w:val="es-ES"/>
              </w:rPr>
              <w:t xml:space="preserve"> y </w:t>
            </w:r>
            <w:proofErr w:type="spellStart"/>
            <w:r w:rsidR="00A44115" w:rsidRPr="00590569">
              <w:rPr>
                <w:rFonts w:ascii="Baskerville" w:hAnsi="Baskerville"/>
                <w:color w:val="000000"/>
                <w:sz w:val="21"/>
                <w:szCs w:val="21"/>
                <w:lang w:val="es-ES"/>
              </w:rPr>
              <w:t>Agoyán</w:t>
            </w:r>
            <w:proofErr w:type="spellEnd"/>
            <w:r w:rsidR="00A44115" w:rsidRPr="00590569">
              <w:rPr>
                <w:rFonts w:ascii="Baskerville" w:hAnsi="Baskerville"/>
                <w:color w:val="000000"/>
                <w:sz w:val="21"/>
                <w:szCs w:val="21"/>
                <w:lang w:val="es-ES"/>
              </w:rPr>
              <w:t>, será transferida por el Ministerio de Finanzas y Crédito Público, de conformidad con las disposiciones de la Ley Orgánica de Administración Financiera y Control, de la siguiente forma:</w:t>
            </w:r>
          </w:p>
          <w:p w14:paraId="474B9D87" w14:textId="77777777" w:rsidR="00A44115" w:rsidRPr="00590569" w:rsidRDefault="00A44115" w:rsidP="004A6DF0">
            <w:pPr>
              <w:pStyle w:val="Sinespaciado"/>
              <w:jc w:val="both"/>
              <w:rPr>
                <w:rFonts w:ascii="Baskerville" w:hAnsi="Baskerville"/>
                <w:color w:val="000000"/>
                <w:sz w:val="21"/>
                <w:szCs w:val="21"/>
              </w:rPr>
            </w:pPr>
            <w:r w:rsidRPr="00590569">
              <w:rPr>
                <w:rFonts w:ascii="Baskerville" w:hAnsi="Baskerville"/>
                <w:color w:val="000000"/>
                <w:sz w:val="21"/>
                <w:szCs w:val="21"/>
                <w:lang w:val="es-ES"/>
              </w:rPr>
              <w:br/>
              <w:t xml:space="preserve">- 40% para el Consejo Provincial de Tungurahua, organismo que destinará estos recursos a obras de saneamiento </w:t>
            </w:r>
            <w:r w:rsidRPr="00590569">
              <w:rPr>
                <w:rFonts w:ascii="Baskerville" w:hAnsi="Baskerville"/>
                <w:color w:val="000000"/>
                <w:sz w:val="21"/>
                <w:szCs w:val="21"/>
                <w:lang w:val="es-ES"/>
              </w:rPr>
              <w:lastRenderedPageBreak/>
              <w:t xml:space="preserve">ambiental y caminos vecinales de </w:t>
            </w:r>
            <w:proofErr w:type="gramStart"/>
            <w:r w:rsidRPr="00590569">
              <w:rPr>
                <w:rFonts w:ascii="Baskerville" w:hAnsi="Baskerville"/>
                <w:color w:val="000000"/>
                <w:sz w:val="21"/>
                <w:szCs w:val="21"/>
                <w:lang w:val="es-ES"/>
              </w:rPr>
              <w:t>la zonas rurales</w:t>
            </w:r>
            <w:proofErr w:type="gramEnd"/>
            <w:r w:rsidRPr="00590569">
              <w:rPr>
                <w:rFonts w:ascii="Baskerville" w:hAnsi="Baskerville"/>
                <w:color w:val="000000"/>
                <w:sz w:val="21"/>
                <w:szCs w:val="21"/>
                <w:lang w:val="es-ES"/>
              </w:rPr>
              <w:t xml:space="preserve"> de la provincia y programas de forestación y reforestación.</w:t>
            </w:r>
          </w:p>
          <w:p w14:paraId="3AE720CE" w14:textId="77777777" w:rsidR="00A44115" w:rsidRPr="00590569" w:rsidRDefault="00A44115" w:rsidP="004A6DF0">
            <w:pPr>
              <w:pStyle w:val="Sinespaciado"/>
              <w:jc w:val="both"/>
              <w:rPr>
                <w:rFonts w:ascii="Baskerville" w:hAnsi="Baskerville"/>
                <w:color w:val="000000"/>
                <w:sz w:val="21"/>
                <w:szCs w:val="21"/>
              </w:rPr>
            </w:pPr>
            <w:r w:rsidRPr="00590569">
              <w:rPr>
                <w:rFonts w:ascii="Baskerville" w:hAnsi="Baskerville"/>
                <w:color w:val="000000"/>
                <w:sz w:val="21"/>
                <w:szCs w:val="21"/>
                <w:lang w:val="es-ES"/>
              </w:rPr>
              <w:br/>
              <w:t>- 40% en partes iguales entre los Municipios de Tungurahua, excepto el de Ambato, organismos que utilizarán estos recursos en obras de infraestructura; y,</w:t>
            </w:r>
          </w:p>
          <w:p w14:paraId="4FE253BB" w14:textId="77777777" w:rsidR="00A44115" w:rsidRPr="00590569" w:rsidRDefault="00A44115" w:rsidP="004A6DF0">
            <w:pPr>
              <w:pStyle w:val="Sinespaciado"/>
              <w:jc w:val="both"/>
              <w:rPr>
                <w:rFonts w:ascii="Baskerville" w:hAnsi="Baskerville"/>
                <w:color w:val="000000"/>
                <w:sz w:val="21"/>
                <w:szCs w:val="21"/>
              </w:rPr>
            </w:pPr>
            <w:r w:rsidRPr="00590569">
              <w:rPr>
                <w:rFonts w:ascii="Baskerville" w:hAnsi="Baskerville"/>
                <w:color w:val="000000"/>
                <w:sz w:val="21"/>
                <w:szCs w:val="21"/>
                <w:lang w:val="es-ES"/>
              </w:rPr>
              <w:br/>
              <w:t>- 20% para el Municipio de Ambato, organismo que destinará estos recursos a obras de agua potable, canalización, caminos y otras de carácter infraestructural.</w:t>
            </w:r>
          </w:p>
          <w:p w14:paraId="10D86011" w14:textId="77777777" w:rsidR="00A44115" w:rsidRPr="00590569" w:rsidRDefault="00A44115" w:rsidP="004A6DF0">
            <w:pPr>
              <w:pStyle w:val="Sinespaciado"/>
              <w:jc w:val="both"/>
              <w:rPr>
                <w:rFonts w:ascii="Baskerville" w:hAnsi="Baskerville"/>
                <w:sz w:val="21"/>
                <w:szCs w:val="21"/>
              </w:rPr>
            </w:pPr>
          </w:p>
          <w:p w14:paraId="5F759374" w14:textId="77777777" w:rsidR="00A44115" w:rsidRPr="00590569" w:rsidRDefault="00A44115" w:rsidP="004A6DF0">
            <w:pPr>
              <w:pStyle w:val="Sinespaciado"/>
              <w:jc w:val="both"/>
              <w:rPr>
                <w:rFonts w:ascii="Baskerville" w:hAnsi="Baskerville"/>
                <w:i/>
                <w:iCs/>
                <w:sz w:val="21"/>
                <w:szCs w:val="21"/>
              </w:rPr>
            </w:pPr>
          </w:p>
        </w:tc>
        <w:tc>
          <w:tcPr>
            <w:tcW w:w="3686" w:type="dxa"/>
          </w:tcPr>
          <w:p w14:paraId="121E3F93" w14:textId="77777777" w:rsidR="00A44115" w:rsidRPr="00590569" w:rsidRDefault="00A44115" w:rsidP="004A6DF0">
            <w:pPr>
              <w:pStyle w:val="Sinespaciado"/>
              <w:jc w:val="both"/>
              <w:rPr>
                <w:rFonts w:ascii="Baskerville" w:hAnsi="Baskerville"/>
                <w:sz w:val="21"/>
                <w:szCs w:val="21"/>
              </w:rPr>
            </w:pPr>
            <w:r w:rsidRPr="00590569">
              <w:rPr>
                <w:rFonts w:ascii="Baskerville" w:hAnsi="Baskerville"/>
                <w:sz w:val="21"/>
                <w:szCs w:val="21"/>
              </w:rPr>
              <w:lastRenderedPageBreak/>
              <w:t xml:space="preserve">Se sustituye el artículo 3 de la Ley 047, por la siguiente. </w:t>
            </w:r>
          </w:p>
          <w:p w14:paraId="2D79B149" w14:textId="77777777" w:rsidR="00A44115" w:rsidRPr="00590569" w:rsidRDefault="00A44115" w:rsidP="004A6DF0">
            <w:pPr>
              <w:pStyle w:val="Sinespaciado"/>
              <w:jc w:val="both"/>
              <w:rPr>
                <w:rFonts w:ascii="Baskerville" w:hAnsi="Baskerville"/>
                <w:sz w:val="21"/>
                <w:szCs w:val="21"/>
              </w:rPr>
            </w:pPr>
            <w:r w:rsidRPr="00590569">
              <w:rPr>
                <w:rFonts w:ascii="Baskerville" w:hAnsi="Baskerville" w:cs="Arial"/>
                <w:sz w:val="21"/>
                <w:szCs w:val="21"/>
              </w:rPr>
              <w:t xml:space="preserve">Art. 3.- La asignación contemplada en el Presupuesto del Estado, y calculada sobre la base de la venta de energía de las Centrales Hidroeléctricas de Pisayambo y Agoyán, será transferida en su totalidad por el </w:t>
            </w:r>
            <w:r w:rsidRPr="00590569">
              <w:rPr>
                <w:rFonts w:ascii="Baskerville" w:hAnsi="Baskerville"/>
                <w:sz w:val="21"/>
                <w:szCs w:val="21"/>
              </w:rPr>
              <w:t xml:space="preserve">Ministerio de Economía y Finanzas, de conformidad a lo dispuesto en el Código Orgánico de Planificación y Finanzas Públicas, de la siguiente forma: </w:t>
            </w:r>
          </w:p>
          <w:p w14:paraId="309310EA" w14:textId="77777777" w:rsidR="00A44115" w:rsidRPr="00590569" w:rsidRDefault="00A44115" w:rsidP="004A6DF0">
            <w:pPr>
              <w:pStyle w:val="Sinespaciado"/>
              <w:jc w:val="both"/>
              <w:rPr>
                <w:rFonts w:ascii="Baskerville" w:hAnsi="Baskerville"/>
                <w:sz w:val="21"/>
                <w:szCs w:val="21"/>
              </w:rPr>
            </w:pPr>
            <w:r w:rsidRPr="00590569">
              <w:rPr>
                <w:rFonts w:ascii="Baskerville" w:hAnsi="Baskerville"/>
                <w:sz w:val="21"/>
                <w:szCs w:val="21"/>
              </w:rPr>
              <w:t xml:space="preserve">- 40% para el Gobierno Autónomo Descentralizado Provincial de Tungurahua, organismo que destinará </w:t>
            </w:r>
            <w:r w:rsidRPr="00590569">
              <w:rPr>
                <w:rFonts w:ascii="Baskerville" w:hAnsi="Baskerville"/>
                <w:sz w:val="21"/>
                <w:szCs w:val="21"/>
              </w:rPr>
              <w:lastRenderedPageBreak/>
              <w:t xml:space="preserve">estos recursos a obras de saneamiento ambiental y caminos vecinales de las zonas rurales de la provincia; </w:t>
            </w:r>
          </w:p>
          <w:p w14:paraId="14FCC138" w14:textId="77777777" w:rsidR="00A44115" w:rsidRPr="00590569" w:rsidRDefault="00A44115" w:rsidP="004A6DF0">
            <w:pPr>
              <w:pStyle w:val="Sinespaciado"/>
              <w:jc w:val="both"/>
              <w:rPr>
                <w:rFonts w:ascii="Baskerville" w:hAnsi="Baskerville"/>
                <w:sz w:val="21"/>
                <w:szCs w:val="21"/>
              </w:rPr>
            </w:pPr>
            <w:r w:rsidRPr="00590569">
              <w:rPr>
                <w:rFonts w:ascii="Baskerville" w:hAnsi="Baskerville"/>
                <w:sz w:val="21"/>
                <w:szCs w:val="21"/>
              </w:rPr>
              <w:t xml:space="preserve">- 40% en partes iguales entre los Gobiernos Autónomos Descentralizados de Tungurahua, excepto el de Ambato, organismos que utilizarán estos recursos en obras de infraestructura; y, </w:t>
            </w:r>
          </w:p>
          <w:p w14:paraId="0660ABC4" w14:textId="5103C0F7" w:rsidR="00A44115" w:rsidRPr="00590569" w:rsidRDefault="00A44115" w:rsidP="004A6DF0">
            <w:pPr>
              <w:pStyle w:val="Sinespaciado"/>
              <w:jc w:val="both"/>
              <w:rPr>
                <w:rFonts w:ascii="Baskerville" w:hAnsi="Baskerville"/>
                <w:sz w:val="21"/>
                <w:szCs w:val="21"/>
              </w:rPr>
            </w:pPr>
            <w:r w:rsidRPr="00590569">
              <w:rPr>
                <w:rFonts w:ascii="Baskerville" w:hAnsi="Baskerville"/>
                <w:sz w:val="21"/>
                <w:szCs w:val="21"/>
              </w:rPr>
              <w:t>- 20% para el Gobierno Autónomo Descentralizado Municipal de Ambato, organismo que destinará estos recursos a obras de agua potable, canalización, caminos y otras de carácter infraestructural. Los Gobiernos Autónomos  Descentralizados beneficiados</w:t>
            </w:r>
            <w:r w:rsidRPr="00590569">
              <w:rPr>
                <w:rFonts w:ascii="Baskerville" w:hAnsi="Baskerville"/>
                <w:sz w:val="21"/>
                <w:szCs w:val="21"/>
              </w:rPr>
              <w:br/>
              <w:t>utilizarán estos recursos exclusivamente en la realización de obras de infraestructura; y, en programas de forestación, reforestación, cuidado, saneamiento y remediación ambiental y acuífera.</w:t>
            </w:r>
          </w:p>
          <w:p w14:paraId="287D9EF6" w14:textId="45AA3C52" w:rsidR="00A44115" w:rsidRPr="00590569" w:rsidRDefault="00A44115" w:rsidP="004A6DF0">
            <w:pPr>
              <w:pStyle w:val="Sinespaciado"/>
              <w:jc w:val="both"/>
              <w:rPr>
                <w:rFonts w:ascii="Baskerville" w:hAnsi="Baskerville"/>
                <w:sz w:val="21"/>
                <w:szCs w:val="21"/>
              </w:rPr>
            </w:pPr>
          </w:p>
          <w:p w14:paraId="3CA6C1B3" w14:textId="77777777" w:rsidR="00A44115" w:rsidRPr="00590569" w:rsidRDefault="00A44115" w:rsidP="004A6DF0">
            <w:pPr>
              <w:pStyle w:val="Sinespaciado"/>
              <w:jc w:val="both"/>
              <w:rPr>
                <w:rFonts w:ascii="Baskerville" w:hAnsi="Baskerville"/>
                <w:i/>
                <w:iCs/>
                <w:sz w:val="21"/>
                <w:szCs w:val="21"/>
              </w:rPr>
            </w:pPr>
          </w:p>
        </w:tc>
        <w:tc>
          <w:tcPr>
            <w:tcW w:w="3685" w:type="dxa"/>
          </w:tcPr>
          <w:p w14:paraId="6461D3D4" w14:textId="77777777" w:rsidR="00A44115" w:rsidRPr="00590569" w:rsidRDefault="00A44115" w:rsidP="004A6DF0">
            <w:pPr>
              <w:pStyle w:val="Sinespaciado"/>
              <w:jc w:val="both"/>
              <w:rPr>
                <w:rFonts w:ascii="Baskerville" w:hAnsi="Baskerville"/>
                <w:i/>
                <w:iCs/>
                <w:sz w:val="21"/>
                <w:szCs w:val="21"/>
              </w:rPr>
            </w:pPr>
          </w:p>
        </w:tc>
        <w:tc>
          <w:tcPr>
            <w:tcW w:w="4253" w:type="dxa"/>
          </w:tcPr>
          <w:p w14:paraId="00D819DD" w14:textId="77777777" w:rsidR="00F7547E" w:rsidRPr="00F8120A" w:rsidRDefault="00F7547E" w:rsidP="004A6DF0">
            <w:pPr>
              <w:pStyle w:val="NormalWeb"/>
              <w:shd w:val="clear" w:color="auto" w:fill="FFFFFF"/>
              <w:jc w:val="both"/>
              <w:rPr>
                <w:rFonts w:ascii="Baskerville" w:hAnsi="Baskerville"/>
                <w:sz w:val="21"/>
                <w:szCs w:val="21"/>
              </w:rPr>
            </w:pPr>
            <w:r w:rsidRPr="00DA2A21">
              <w:rPr>
                <w:rFonts w:ascii="Baskerville" w:hAnsi="Baskerville"/>
                <w:b/>
                <w:bCs/>
                <w:sz w:val="21"/>
                <w:szCs w:val="21"/>
              </w:rPr>
              <w:t>Artículo 3.-</w:t>
            </w:r>
            <w:r w:rsidRPr="00F8120A">
              <w:rPr>
                <w:rFonts w:ascii="Baskerville" w:hAnsi="Baskerville"/>
                <w:sz w:val="21"/>
                <w:szCs w:val="21"/>
              </w:rPr>
              <w:t xml:space="preserve">  Se sustituye el artículo 3 de la Ley 047, por el siguiente texto: </w:t>
            </w:r>
          </w:p>
          <w:p w14:paraId="576B2D8C" w14:textId="2BAF5838" w:rsidR="00A44115" w:rsidRPr="00F8120A" w:rsidRDefault="00A44115" w:rsidP="004A6DF0">
            <w:pPr>
              <w:pStyle w:val="NormalWeb"/>
              <w:shd w:val="clear" w:color="auto" w:fill="FFFFFF"/>
              <w:jc w:val="both"/>
              <w:rPr>
                <w:rFonts w:ascii="Baskerville" w:hAnsi="Baskerville"/>
                <w:sz w:val="21"/>
                <w:szCs w:val="21"/>
              </w:rPr>
            </w:pPr>
            <w:r w:rsidRPr="00F8120A">
              <w:rPr>
                <w:rFonts w:ascii="Baskerville" w:hAnsi="Baskerville" w:cs="Arial"/>
                <w:sz w:val="21"/>
                <w:szCs w:val="21"/>
              </w:rPr>
              <w:t xml:space="preserve">Art. 3.- La asignación contemplada en el Presupuesto del Estado, y calculada sobre la base de la venta de energía de las Centrales Hidroeléctricas de Pisayambo y Agoyán, será transferida en su totalidad por el </w:t>
            </w:r>
            <w:r w:rsidRPr="00F8120A">
              <w:rPr>
                <w:rFonts w:ascii="Baskerville" w:hAnsi="Baskerville"/>
                <w:sz w:val="21"/>
                <w:szCs w:val="21"/>
              </w:rPr>
              <w:t xml:space="preserve">Ministerio de Economía y Finanzas, de conformidad a lo dispuesto en el Código Orgánico de Planificación y Finanzas Públicas, de la siguiente forma: </w:t>
            </w:r>
          </w:p>
          <w:p w14:paraId="45BF2F6C" w14:textId="501DA726" w:rsidR="00A44115" w:rsidRPr="00F8120A" w:rsidRDefault="00A44115" w:rsidP="004A6DF0">
            <w:pPr>
              <w:pStyle w:val="Sinespaciado"/>
              <w:jc w:val="both"/>
              <w:rPr>
                <w:rFonts w:ascii="Baskerville" w:hAnsi="Baskerville"/>
                <w:color w:val="000000"/>
                <w:sz w:val="21"/>
                <w:szCs w:val="21"/>
                <w:lang w:val="es-ES"/>
              </w:rPr>
            </w:pPr>
            <w:r w:rsidRPr="00F8120A">
              <w:rPr>
                <w:rFonts w:ascii="Baskerville" w:hAnsi="Baskerville"/>
                <w:sz w:val="21"/>
                <w:szCs w:val="21"/>
              </w:rPr>
              <w:lastRenderedPageBreak/>
              <w:t xml:space="preserve">- 40% para el Gobierno Autónomo Descentralizado Provincial de Tungurahua, organismo que destinará estos recursos a obras de saneamiento ambiental y caminos vecinales de las zonas rurales de la provincia </w:t>
            </w:r>
            <w:r w:rsidRPr="00F8120A">
              <w:rPr>
                <w:rFonts w:ascii="Baskerville" w:hAnsi="Baskerville"/>
                <w:color w:val="000000"/>
                <w:sz w:val="21"/>
                <w:szCs w:val="21"/>
                <w:lang w:val="es-ES"/>
              </w:rPr>
              <w:t>y programas de forestación y reforestación.</w:t>
            </w:r>
          </w:p>
          <w:p w14:paraId="1CA2324D" w14:textId="77777777" w:rsidR="00A44115" w:rsidRPr="00F8120A" w:rsidRDefault="00A44115" w:rsidP="004A6DF0">
            <w:pPr>
              <w:pStyle w:val="Sinespaciado"/>
              <w:jc w:val="both"/>
              <w:rPr>
                <w:rFonts w:ascii="Baskerville" w:hAnsi="Baskerville"/>
                <w:color w:val="000000"/>
                <w:sz w:val="21"/>
                <w:szCs w:val="21"/>
              </w:rPr>
            </w:pPr>
          </w:p>
          <w:p w14:paraId="528B1AB9" w14:textId="6A4D07EE" w:rsidR="00A44115" w:rsidRDefault="00A44115" w:rsidP="004A6DF0">
            <w:pPr>
              <w:pStyle w:val="Sinespaciado"/>
              <w:jc w:val="both"/>
              <w:rPr>
                <w:rFonts w:ascii="Baskerville" w:hAnsi="Baskerville"/>
                <w:sz w:val="21"/>
                <w:szCs w:val="21"/>
              </w:rPr>
            </w:pPr>
            <w:r w:rsidRPr="00F8120A">
              <w:rPr>
                <w:rFonts w:ascii="Baskerville" w:hAnsi="Baskerville"/>
                <w:sz w:val="21"/>
                <w:szCs w:val="21"/>
              </w:rPr>
              <w:t>- 40% en partes iguales entre los Gobiernos Autónomos Descentralizados Municipales de Tungurahua, excepto el de Ambato.</w:t>
            </w:r>
          </w:p>
          <w:p w14:paraId="28363690" w14:textId="77777777" w:rsidR="00DA2A21" w:rsidRPr="00F8120A" w:rsidRDefault="00DA2A21" w:rsidP="004A6DF0">
            <w:pPr>
              <w:pStyle w:val="Sinespaciado"/>
              <w:jc w:val="both"/>
              <w:rPr>
                <w:rFonts w:ascii="Baskerville" w:hAnsi="Baskerville"/>
                <w:color w:val="000000"/>
                <w:sz w:val="21"/>
                <w:szCs w:val="21"/>
              </w:rPr>
            </w:pPr>
          </w:p>
          <w:p w14:paraId="437B49EB" w14:textId="4352B480" w:rsidR="00A44115" w:rsidRDefault="00A44115" w:rsidP="004A6DF0">
            <w:pPr>
              <w:pStyle w:val="Sinespaciado"/>
              <w:jc w:val="both"/>
              <w:rPr>
                <w:rFonts w:ascii="Baskerville" w:hAnsi="Baskerville"/>
                <w:sz w:val="21"/>
                <w:szCs w:val="21"/>
              </w:rPr>
            </w:pPr>
            <w:r w:rsidRPr="00F8120A">
              <w:rPr>
                <w:rFonts w:ascii="Baskerville" w:hAnsi="Baskerville"/>
                <w:sz w:val="21"/>
                <w:szCs w:val="21"/>
              </w:rPr>
              <w:t xml:space="preserve">- 20% para el Gobierno Autónomo Descentralizado Municipal de Ambato, organismo que destinará estos recursos a obras de agua potable, canalización, caminos y otras de carácter infraestructural. </w:t>
            </w:r>
          </w:p>
          <w:p w14:paraId="56E358B5" w14:textId="77777777" w:rsidR="004A6DF0" w:rsidRPr="00F8120A" w:rsidRDefault="004A6DF0" w:rsidP="004A6DF0">
            <w:pPr>
              <w:pStyle w:val="Sinespaciado"/>
              <w:jc w:val="both"/>
              <w:rPr>
                <w:rFonts w:ascii="Baskerville" w:hAnsi="Baskerville"/>
                <w:sz w:val="21"/>
                <w:szCs w:val="21"/>
              </w:rPr>
            </w:pPr>
          </w:p>
          <w:p w14:paraId="3D8D18E7" w14:textId="213978D5" w:rsidR="00A44115" w:rsidRPr="00F8120A" w:rsidRDefault="00A44115" w:rsidP="004A6DF0">
            <w:pPr>
              <w:pStyle w:val="Sinespaciado"/>
              <w:jc w:val="both"/>
              <w:rPr>
                <w:rFonts w:ascii="Baskerville" w:hAnsi="Baskerville"/>
                <w:sz w:val="21"/>
                <w:szCs w:val="21"/>
              </w:rPr>
            </w:pPr>
            <w:r w:rsidRPr="00F8120A">
              <w:rPr>
                <w:rFonts w:ascii="Baskerville" w:hAnsi="Baskerville"/>
                <w:sz w:val="21"/>
                <w:szCs w:val="21"/>
              </w:rPr>
              <w:t>Los Gobiernos Autónomos  Descentralizados beneficiados</w:t>
            </w:r>
            <w:r w:rsidR="004A6DF0">
              <w:rPr>
                <w:rFonts w:ascii="Baskerville" w:hAnsi="Baskerville"/>
                <w:sz w:val="21"/>
                <w:szCs w:val="21"/>
              </w:rPr>
              <w:t xml:space="preserve"> </w:t>
            </w:r>
            <w:r w:rsidRPr="00F8120A">
              <w:rPr>
                <w:rFonts w:ascii="Baskerville" w:hAnsi="Baskerville"/>
                <w:sz w:val="21"/>
                <w:szCs w:val="21"/>
              </w:rPr>
              <w:t>utilizarán estos recursos exclusivamente en la realización de obras de infraestructura; y, en programas de forestación, reforestación, cuidado, saneamiento y remediación ambiental y acuífera.</w:t>
            </w:r>
          </w:p>
          <w:p w14:paraId="69012CC2" w14:textId="77777777" w:rsidR="00A44115" w:rsidRPr="00F8120A" w:rsidRDefault="00A44115" w:rsidP="004A6DF0">
            <w:pPr>
              <w:pStyle w:val="Sinespaciado"/>
              <w:jc w:val="both"/>
              <w:rPr>
                <w:rFonts w:ascii="Baskerville" w:hAnsi="Baskerville"/>
                <w:sz w:val="21"/>
                <w:szCs w:val="21"/>
              </w:rPr>
            </w:pPr>
          </w:p>
          <w:p w14:paraId="2CDF04D8" w14:textId="77777777" w:rsidR="00A44115" w:rsidRPr="00F8120A" w:rsidRDefault="00A44115" w:rsidP="004A6DF0">
            <w:pPr>
              <w:pStyle w:val="Sinespaciado"/>
              <w:jc w:val="both"/>
              <w:rPr>
                <w:rFonts w:ascii="Baskerville" w:hAnsi="Baskerville"/>
                <w:i/>
                <w:iCs/>
                <w:sz w:val="21"/>
                <w:szCs w:val="21"/>
              </w:rPr>
            </w:pPr>
          </w:p>
        </w:tc>
      </w:tr>
      <w:tr w:rsidR="00A44115" w:rsidRPr="00590569" w14:paraId="3F661564" w14:textId="02C98EA4" w:rsidTr="00A44115">
        <w:tc>
          <w:tcPr>
            <w:tcW w:w="3686" w:type="dxa"/>
          </w:tcPr>
          <w:p w14:paraId="1381B6F3" w14:textId="77777777" w:rsidR="00A44115" w:rsidRPr="00590569" w:rsidRDefault="00A44115" w:rsidP="004A6DF0">
            <w:pPr>
              <w:pStyle w:val="Sinespaciado"/>
              <w:jc w:val="both"/>
              <w:rPr>
                <w:rFonts w:ascii="Baskerville" w:hAnsi="Baskerville"/>
                <w:sz w:val="21"/>
                <w:szCs w:val="21"/>
              </w:rPr>
            </w:pPr>
            <w:r w:rsidRPr="00590569">
              <w:rPr>
                <w:rFonts w:ascii="Baskerville" w:hAnsi="Baskerville"/>
                <w:b/>
                <w:bCs/>
                <w:color w:val="000000"/>
                <w:sz w:val="21"/>
                <w:szCs w:val="21"/>
                <w:lang w:val="es-ES"/>
              </w:rPr>
              <w:lastRenderedPageBreak/>
              <w:t>Art. 4.- </w:t>
            </w:r>
            <w:r w:rsidRPr="00590569">
              <w:rPr>
                <w:rFonts w:ascii="Baskerville" w:hAnsi="Baskerville"/>
                <w:color w:val="000000"/>
                <w:sz w:val="21"/>
                <w:szCs w:val="21"/>
                <w:lang w:val="es-ES"/>
              </w:rPr>
              <w:t>El Instituto Ecuatoriano de Electrificación INECEL remitirá al Ministerio de Finanzas las bases de cálculo con las cuales se fijará el monto de las asignaciones a que hacen referencia los artículos precedentes.</w:t>
            </w:r>
          </w:p>
          <w:p w14:paraId="326B47E8" w14:textId="77777777" w:rsidR="00A44115" w:rsidRPr="00590569" w:rsidRDefault="00A44115" w:rsidP="004A6DF0">
            <w:pPr>
              <w:pStyle w:val="Sinespaciado"/>
              <w:jc w:val="both"/>
              <w:rPr>
                <w:rFonts w:ascii="Baskerville" w:hAnsi="Baskerville"/>
                <w:i/>
                <w:iCs/>
                <w:sz w:val="21"/>
                <w:szCs w:val="21"/>
              </w:rPr>
            </w:pPr>
          </w:p>
        </w:tc>
        <w:tc>
          <w:tcPr>
            <w:tcW w:w="3686" w:type="dxa"/>
          </w:tcPr>
          <w:p w14:paraId="3B2B8CAC" w14:textId="77777777" w:rsidR="00A44115" w:rsidRPr="00590569" w:rsidRDefault="00A44115" w:rsidP="004A6DF0">
            <w:pPr>
              <w:pStyle w:val="Sinespaciado"/>
              <w:jc w:val="both"/>
              <w:rPr>
                <w:rFonts w:ascii="Baskerville" w:hAnsi="Baskerville"/>
                <w:sz w:val="21"/>
                <w:szCs w:val="21"/>
              </w:rPr>
            </w:pPr>
            <w:r w:rsidRPr="00590569">
              <w:rPr>
                <w:rFonts w:ascii="Baskerville" w:hAnsi="Baskerville" w:cs="Arial"/>
                <w:sz w:val="21"/>
                <w:szCs w:val="21"/>
              </w:rPr>
              <w:t xml:space="preserve">Se sustituye el artículo 4 de la Ley 047, por la siguiente. </w:t>
            </w:r>
          </w:p>
          <w:p w14:paraId="58B25304" w14:textId="40C50C7A" w:rsidR="00A44115" w:rsidRPr="00590569" w:rsidRDefault="00A44115" w:rsidP="004A6DF0">
            <w:pPr>
              <w:pStyle w:val="Sinespaciado"/>
              <w:jc w:val="both"/>
              <w:rPr>
                <w:rFonts w:ascii="Baskerville" w:hAnsi="Baskerville"/>
                <w:sz w:val="21"/>
                <w:szCs w:val="21"/>
              </w:rPr>
            </w:pPr>
            <w:r w:rsidRPr="00590569">
              <w:rPr>
                <w:rFonts w:ascii="Baskerville" w:hAnsi="Baskerville" w:cs="Arial"/>
                <w:sz w:val="21"/>
                <w:szCs w:val="21"/>
              </w:rPr>
              <w:t xml:space="preserve">“Art. 4.- </w:t>
            </w:r>
            <w:r w:rsidRPr="00590569">
              <w:rPr>
                <w:rFonts w:ascii="Baskerville" w:hAnsi="Baskerville"/>
                <w:sz w:val="21"/>
                <w:szCs w:val="21"/>
              </w:rPr>
              <w:t xml:space="preserve">El Operador Nacional de Electricidad, CENACE, </w:t>
            </w:r>
            <w:r w:rsidRPr="00590569">
              <w:rPr>
                <w:rFonts w:ascii="Baskerville" w:hAnsi="Baskerville" w:cs="Arial"/>
                <w:sz w:val="21"/>
                <w:szCs w:val="21"/>
              </w:rPr>
              <w:t xml:space="preserve">remitirá al Ministerio de Economía y Finanzas las bases de cálculo con las cuales se fijará el monto de las asignaciones a que hacen referencia los artículos precedentes.” </w:t>
            </w:r>
          </w:p>
        </w:tc>
        <w:tc>
          <w:tcPr>
            <w:tcW w:w="3685" w:type="dxa"/>
          </w:tcPr>
          <w:p w14:paraId="241791B0" w14:textId="77777777" w:rsidR="00A44115" w:rsidRPr="00590569" w:rsidRDefault="00A44115" w:rsidP="004A6DF0">
            <w:pPr>
              <w:pStyle w:val="Sinespaciado"/>
              <w:jc w:val="both"/>
              <w:rPr>
                <w:rFonts w:ascii="Baskerville" w:hAnsi="Baskerville"/>
                <w:sz w:val="21"/>
                <w:szCs w:val="21"/>
              </w:rPr>
            </w:pPr>
            <w:r w:rsidRPr="00590569">
              <w:rPr>
                <w:rFonts w:ascii="Baskerville" w:hAnsi="Baskerville"/>
                <w:b/>
                <w:bCs/>
                <w:sz w:val="21"/>
                <w:szCs w:val="21"/>
              </w:rPr>
              <w:t xml:space="preserve">Art. 4.- </w:t>
            </w:r>
            <w:r w:rsidRPr="00F46586">
              <w:rPr>
                <w:rFonts w:ascii="Baskerville" w:hAnsi="Baskerville"/>
                <w:sz w:val="21"/>
                <w:szCs w:val="21"/>
              </w:rPr>
              <w:t>La Corporación Nacional de Electricidad, CNEL EP, o la entidad que haga sus veces, remitirá oportunamente al Ministerio rector de las Finanzas Públicas las bases de cálculo con</w:t>
            </w:r>
            <w:r w:rsidRPr="00590569">
              <w:rPr>
                <w:rFonts w:ascii="Baskerville" w:hAnsi="Baskerville"/>
                <w:sz w:val="21"/>
                <w:szCs w:val="21"/>
              </w:rPr>
              <w:t xml:space="preserve"> las cuales se fijará el monto de las asignaciones a que hacen referencia los artículos precedentes. </w:t>
            </w:r>
          </w:p>
          <w:p w14:paraId="4C27A216" w14:textId="77777777" w:rsidR="00A44115" w:rsidRPr="00590569" w:rsidRDefault="00A44115" w:rsidP="004A6DF0">
            <w:pPr>
              <w:pStyle w:val="Sinespaciado"/>
              <w:jc w:val="both"/>
              <w:rPr>
                <w:rFonts w:ascii="Baskerville" w:hAnsi="Baskerville"/>
                <w:i/>
                <w:iCs/>
                <w:sz w:val="21"/>
                <w:szCs w:val="21"/>
              </w:rPr>
            </w:pPr>
          </w:p>
        </w:tc>
        <w:tc>
          <w:tcPr>
            <w:tcW w:w="4253" w:type="dxa"/>
          </w:tcPr>
          <w:p w14:paraId="42C9A17D" w14:textId="71223185" w:rsidR="00F7547E" w:rsidRDefault="00F7547E" w:rsidP="004A6DF0">
            <w:pPr>
              <w:pStyle w:val="NormalWeb"/>
              <w:shd w:val="clear" w:color="auto" w:fill="FFFFFF"/>
              <w:jc w:val="both"/>
              <w:rPr>
                <w:rFonts w:ascii="Baskerville" w:hAnsi="Baskerville"/>
                <w:sz w:val="21"/>
                <w:szCs w:val="21"/>
              </w:rPr>
            </w:pPr>
            <w:r w:rsidRPr="00F7547E">
              <w:rPr>
                <w:rFonts w:ascii="Baskerville" w:hAnsi="Baskerville"/>
                <w:b/>
                <w:bCs/>
                <w:sz w:val="21"/>
                <w:szCs w:val="21"/>
              </w:rPr>
              <w:t xml:space="preserve">Artículo </w:t>
            </w:r>
            <w:r>
              <w:rPr>
                <w:rFonts w:ascii="Baskerville" w:hAnsi="Baskerville"/>
                <w:b/>
                <w:bCs/>
                <w:sz w:val="21"/>
                <w:szCs w:val="21"/>
              </w:rPr>
              <w:t>4</w:t>
            </w:r>
            <w:r w:rsidRPr="00F7547E">
              <w:rPr>
                <w:rFonts w:ascii="Baskerville" w:hAnsi="Baskerville"/>
                <w:b/>
                <w:bCs/>
                <w:sz w:val="21"/>
                <w:szCs w:val="21"/>
              </w:rPr>
              <w:t>.-</w:t>
            </w:r>
            <w:r w:rsidRPr="00F7547E">
              <w:rPr>
                <w:rFonts w:ascii="Baskerville" w:hAnsi="Baskerville"/>
                <w:sz w:val="21"/>
                <w:szCs w:val="21"/>
              </w:rPr>
              <w:t xml:space="preserve">  Se sustituye el artículo </w:t>
            </w:r>
            <w:r>
              <w:rPr>
                <w:rFonts w:ascii="Baskerville" w:hAnsi="Baskerville"/>
                <w:sz w:val="21"/>
                <w:szCs w:val="21"/>
              </w:rPr>
              <w:t>4</w:t>
            </w:r>
            <w:r w:rsidRPr="00F7547E">
              <w:rPr>
                <w:rFonts w:ascii="Baskerville" w:hAnsi="Baskerville"/>
                <w:sz w:val="21"/>
                <w:szCs w:val="21"/>
              </w:rPr>
              <w:t xml:space="preserve"> de la Ley 047</w:t>
            </w:r>
            <w:r>
              <w:rPr>
                <w:rFonts w:ascii="Baskerville" w:hAnsi="Baskerville"/>
                <w:sz w:val="21"/>
                <w:szCs w:val="21"/>
              </w:rPr>
              <w:t>, por el siguiente texto:</w:t>
            </w:r>
          </w:p>
          <w:p w14:paraId="0971D796" w14:textId="4E1629E9" w:rsidR="00A44115" w:rsidRPr="00A44115" w:rsidRDefault="00A44115" w:rsidP="004A6DF0">
            <w:pPr>
              <w:pStyle w:val="Sinespaciado"/>
              <w:jc w:val="both"/>
              <w:rPr>
                <w:rFonts w:ascii="Baskerville" w:hAnsi="Baskerville"/>
                <w:sz w:val="21"/>
                <w:szCs w:val="21"/>
              </w:rPr>
            </w:pPr>
            <w:r w:rsidRPr="00590569">
              <w:rPr>
                <w:rFonts w:ascii="Baskerville" w:hAnsi="Baskerville" w:cs="Arial"/>
                <w:sz w:val="21"/>
                <w:szCs w:val="21"/>
              </w:rPr>
              <w:t xml:space="preserve">Art. 4.- </w:t>
            </w:r>
            <w:r w:rsidR="004A6DF0" w:rsidRPr="004A6DF0">
              <w:rPr>
                <w:rFonts w:ascii="Baskerville" w:hAnsi="Baskerville"/>
                <w:sz w:val="21"/>
                <w:szCs w:val="21"/>
              </w:rPr>
              <w:t>La Corporación Nacional de Electricidad, CNEL EP, o la entidad que haga sus veces, remitirá oportunamente al Ministerio rector de las Finanzas Públicas las bases de cálculo con las cuales se fijará el monto de las asignaciones a que hacen referencia los artículos precedentes.</w:t>
            </w:r>
          </w:p>
        </w:tc>
      </w:tr>
      <w:tr w:rsidR="00A44115" w:rsidRPr="00590569" w14:paraId="3DB75DCD" w14:textId="6F685D33" w:rsidTr="00A44115">
        <w:tc>
          <w:tcPr>
            <w:tcW w:w="3686" w:type="dxa"/>
          </w:tcPr>
          <w:p w14:paraId="4BFE41CA" w14:textId="77777777" w:rsidR="00A44115" w:rsidRPr="00590569" w:rsidRDefault="00A44115" w:rsidP="004A6DF0">
            <w:pPr>
              <w:pStyle w:val="Sinespaciado"/>
              <w:jc w:val="both"/>
              <w:rPr>
                <w:rFonts w:ascii="Baskerville" w:hAnsi="Baskerville"/>
                <w:i/>
                <w:iCs/>
                <w:sz w:val="21"/>
                <w:szCs w:val="21"/>
              </w:rPr>
            </w:pPr>
          </w:p>
        </w:tc>
        <w:tc>
          <w:tcPr>
            <w:tcW w:w="3686" w:type="dxa"/>
          </w:tcPr>
          <w:p w14:paraId="742EB553" w14:textId="77777777" w:rsidR="00A44115" w:rsidRPr="00590569" w:rsidRDefault="00A44115" w:rsidP="004A6DF0">
            <w:pPr>
              <w:pStyle w:val="Sinespaciado"/>
              <w:jc w:val="both"/>
              <w:rPr>
                <w:rFonts w:ascii="Baskerville" w:hAnsi="Baskerville" w:cs="Arial"/>
                <w:sz w:val="21"/>
                <w:szCs w:val="21"/>
              </w:rPr>
            </w:pPr>
          </w:p>
        </w:tc>
        <w:tc>
          <w:tcPr>
            <w:tcW w:w="3685" w:type="dxa"/>
          </w:tcPr>
          <w:p w14:paraId="3E649051" w14:textId="77777777" w:rsidR="00A44115" w:rsidRPr="00590569" w:rsidRDefault="00A44115" w:rsidP="004A6DF0">
            <w:pPr>
              <w:pStyle w:val="Sinespaciado"/>
              <w:jc w:val="both"/>
              <w:rPr>
                <w:rFonts w:ascii="Baskerville" w:hAnsi="Baskerville"/>
                <w:sz w:val="21"/>
                <w:szCs w:val="21"/>
              </w:rPr>
            </w:pPr>
            <w:r w:rsidRPr="00590569">
              <w:rPr>
                <w:rFonts w:ascii="Baskerville" w:hAnsi="Baskerville"/>
                <w:b/>
                <w:bCs/>
                <w:sz w:val="21"/>
                <w:szCs w:val="21"/>
              </w:rPr>
              <w:t xml:space="preserve">Disposición Transitoria Única.- </w:t>
            </w:r>
            <w:r w:rsidRPr="00590569">
              <w:rPr>
                <w:rFonts w:ascii="Baskerville" w:hAnsi="Baskerville"/>
                <w:sz w:val="21"/>
                <w:szCs w:val="21"/>
              </w:rPr>
              <w:t xml:space="preserve">En caso de existir valores pendientes no transferidos correspondientes a ejercicios fiscales anteriores, de conformidad con los respectivos porcentajes dispuestos por esta Ley, desde su promulgación, el Ministerio rector de las Finanzas Públicas deberá realizar la liquidación correspondiente y entregarlos a los respectivos gobiernos autónomos descentralizados. </w:t>
            </w:r>
          </w:p>
          <w:p w14:paraId="67433C6D" w14:textId="77777777" w:rsidR="00A44115" w:rsidRPr="00590569" w:rsidRDefault="00A44115" w:rsidP="004A6DF0">
            <w:pPr>
              <w:pStyle w:val="Sinespaciado"/>
              <w:jc w:val="both"/>
              <w:rPr>
                <w:rFonts w:ascii="Baskerville" w:hAnsi="Baskerville"/>
                <w:sz w:val="21"/>
                <w:szCs w:val="21"/>
              </w:rPr>
            </w:pPr>
            <w:r w:rsidRPr="00590569">
              <w:rPr>
                <w:rFonts w:ascii="Baskerville" w:hAnsi="Baskerville"/>
                <w:sz w:val="21"/>
                <w:szCs w:val="21"/>
              </w:rPr>
              <w:t xml:space="preserve">Los valores pendientes no transferidos correspondientes a ejercicios fiscales anteriores, que correspondan al 40% asignado para el extinto Centro de Reconversión Económica del Azuay, Cañar y Morona Santiago (CREA), deberán ser transferidos en la misma proporción establecida en el artículo 2 de la presente Ley. </w:t>
            </w:r>
          </w:p>
          <w:p w14:paraId="33013E21" w14:textId="19720D92" w:rsidR="00A44115" w:rsidRPr="00590569" w:rsidRDefault="00A44115" w:rsidP="004A6DF0">
            <w:pPr>
              <w:pStyle w:val="Sinespaciado"/>
              <w:jc w:val="both"/>
              <w:rPr>
                <w:rFonts w:ascii="Baskerville" w:hAnsi="Baskerville"/>
                <w:sz w:val="21"/>
                <w:szCs w:val="21"/>
              </w:rPr>
            </w:pPr>
          </w:p>
          <w:p w14:paraId="3EEF3447" w14:textId="77777777" w:rsidR="00A44115" w:rsidRPr="00590569" w:rsidRDefault="00A44115" w:rsidP="004A6DF0">
            <w:pPr>
              <w:pStyle w:val="Sinespaciado"/>
              <w:jc w:val="both"/>
              <w:rPr>
                <w:rFonts w:ascii="Baskerville" w:hAnsi="Baskerville"/>
                <w:b/>
                <w:bCs/>
                <w:sz w:val="21"/>
                <w:szCs w:val="21"/>
              </w:rPr>
            </w:pPr>
          </w:p>
        </w:tc>
        <w:tc>
          <w:tcPr>
            <w:tcW w:w="4253" w:type="dxa"/>
          </w:tcPr>
          <w:p w14:paraId="2F21C608" w14:textId="556EE063" w:rsidR="00F7547E" w:rsidRPr="00F7547E" w:rsidRDefault="00F7547E" w:rsidP="004A6DF0">
            <w:pPr>
              <w:pStyle w:val="NormalWeb"/>
              <w:shd w:val="clear" w:color="auto" w:fill="FFFFFF"/>
              <w:jc w:val="both"/>
              <w:rPr>
                <w:rFonts w:ascii="Baskerville" w:hAnsi="Baskerville"/>
                <w:sz w:val="21"/>
                <w:szCs w:val="21"/>
              </w:rPr>
            </w:pPr>
            <w:r w:rsidRPr="00F7547E">
              <w:rPr>
                <w:rFonts w:ascii="Baskerville" w:hAnsi="Baskerville"/>
                <w:b/>
                <w:bCs/>
                <w:sz w:val="21"/>
                <w:szCs w:val="21"/>
              </w:rPr>
              <w:t xml:space="preserve">Artículo </w:t>
            </w:r>
            <w:r>
              <w:rPr>
                <w:rFonts w:ascii="Baskerville" w:hAnsi="Baskerville"/>
                <w:b/>
                <w:bCs/>
                <w:sz w:val="21"/>
                <w:szCs w:val="21"/>
              </w:rPr>
              <w:t>5</w:t>
            </w:r>
            <w:r w:rsidRPr="00F7547E">
              <w:rPr>
                <w:rFonts w:ascii="Baskerville" w:hAnsi="Baskerville"/>
                <w:b/>
                <w:bCs/>
                <w:sz w:val="21"/>
                <w:szCs w:val="21"/>
              </w:rPr>
              <w:t>.-</w:t>
            </w:r>
            <w:r w:rsidRPr="00F7547E">
              <w:rPr>
                <w:rFonts w:ascii="Baskerville" w:hAnsi="Baskerville"/>
                <w:sz w:val="21"/>
                <w:szCs w:val="21"/>
              </w:rPr>
              <w:t xml:space="preserve">  </w:t>
            </w:r>
            <w:r>
              <w:rPr>
                <w:rFonts w:ascii="Baskerville" w:hAnsi="Baskerville"/>
                <w:sz w:val="21"/>
                <w:szCs w:val="21"/>
              </w:rPr>
              <w:t xml:space="preserve">Agréguese la siguiente Disposición Transitoria Única </w:t>
            </w:r>
            <w:r w:rsidRPr="00F7547E">
              <w:rPr>
                <w:rFonts w:ascii="Baskerville" w:hAnsi="Baskerville"/>
                <w:sz w:val="21"/>
                <w:szCs w:val="21"/>
              </w:rPr>
              <w:t>de la Ley 047</w:t>
            </w:r>
            <w:r>
              <w:rPr>
                <w:rFonts w:ascii="Baskerville" w:hAnsi="Baskerville"/>
                <w:sz w:val="21"/>
                <w:szCs w:val="21"/>
              </w:rPr>
              <w:t>, con el siguiente texto:</w:t>
            </w:r>
          </w:p>
          <w:p w14:paraId="06F362D3" w14:textId="465467E0" w:rsidR="00A44115" w:rsidRPr="00590569" w:rsidRDefault="00A44115" w:rsidP="004A6DF0">
            <w:pPr>
              <w:pStyle w:val="Sinespaciado"/>
              <w:jc w:val="both"/>
              <w:rPr>
                <w:rFonts w:ascii="Baskerville" w:hAnsi="Baskerville"/>
                <w:sz w:val="21"/>
                <w:szCs w:val="21"/>
              </w:rPr>
            </w:pPr>
            <w:r w:rsidRPr="00590569">
              <w:rPr>
                <w:rFonts w:ascii="Baskerville" w:hAnsi="Baskerville"/>
                <w:b/>
                <w:bCs/>
                <w:sz w:val="21"/>
                <w:szCs w:val="21"/>
              </w:rPr>
              <w:t xml:space="preserve">Disposición Transitoria Única.- </w:t>
            </w:r>
            <w:r w:rsidRPr="00590569">
              <w:rPr>
                <w:rFonts w:ascii="Baskerville" w:hAnsi="Baskerville"/>
                <w:sz w:val="21"/>
                <w:szCs w:val="21"/>
              </w:rPr>
              <w:t xml:space="preserve">En caso de existir valores pendientes no transferidos correspondientes a ejercicios fiscales anteriores, de conformidad con los respectivos porcentajes dispuestos por esta Ley, desde su promulgación, el Ministerio rector de las </w:t>
            </w:r>
            <w:commentRangeStart w:id="3"/>
            <w:r w:rsidRPr="00590569">
              <w:rPr>
                <w:rFonts w:ascii="Baskerville" w:hAnsi="Baskerville"/>
                <w:sz w:val="21"/>
                <w:szCs w:val="21"/>
              </w:rPr>
              <w:t xml:space="preserve">Finanzas Públicas deberá realizar la liquidación correspondiente y entregarlos a los respectivos gobiernos autónomos descentralizados. </w:t>
            </w:r>
            <w:commentRangeEnd w:id="3"/>
            <w:r w:rsidR="00421538">
              <w:rPr>
                <w:rStyle w:val="Refdecomentario"/>
              </w:rPr>
              <w:commentReference w:id="3"/>
            </w:r>
          </w:p>
          <w:p w14:paraId="4222F0A0" w14:textId="77777777" w:rsidR="00A44115" w:rsidRPr="00590569" w:rsidRDefault="00A44115" w:rsidP="004A6DF0">
            <w:pPr>
              <w:pStyle w:val="Sinespaciado"/>
              <w:jc w:val="both"/>
              <w:rPr>
                <w:rFonts w:ascii="Baskerville" w:hAnsi="Baskerville"/>
                <w:sz w:val="21"/>
                <w:szCs w:val="21"/>
              </w:rPr>
            </w:pPr>
            <w:r w:rsidRPr="00590569">
              <w:rPr>
                <w:rFonts w:ascii="Baskerville" w:hAnsi="Baskerville"/>
                <w:sz w:val="21"/>
                <w:szCs w:val="21"/>
              </w:rPr>
              <w:t xml:space="preserve">Los valores pendientes no transferidos correspondientes a ejercicios fiscales anteriores, que correspondan al 40% asignado para el extinto Centro de Reconversión Económica del Azuay, Cañar y Morona Santiago (CREA), deberán ser transferidos en la misma proporción establecida en el artículo 2 de la presente Ley. </w:t>
            </w:r>
          </w:p>
          <w:p w14:paraId="5175F7E6" w14:textId="77777777" w:rsidR="00A44115" w:rsidRPr="00590569" w:rsidRDefault="00A44115" w:rsidP="004A6DF0">
            <w:pPr>
              <w:pStyle w:val="Sinespaciado"/>
              <w:jc w:val="both"/>
              <w:rPr>
                <w:rFonts w:ascii="Baskerville" w:hAnsi="Baskerville"/>
                <w:sz w:val="21"/>
                <w:szCs w:val="21"/>
              </w:rPr>
            </w:pPr>
          </w:p>
          <w:p w14:paraId="11CC57D8" w14:textId="77777777" w:rsidR="00A44115" w:rsidRPr="00590569" w:rsidRDefault="00A44115" w:rsidP="004A6DF0">
            <w:pPr>
              <w:pStyle w:val="Sinespaciado"/>
              <w:jc w:val="both"/>
              <w:rPr>
                <w:rFonts w:ascii="Baskerville" w:hAnsi="Baskerville"/>
                <w:i/>
                <w:iCs/>
                <w:sz w:val="21"/>
                <w:szCs w:val="21"/>
              </w:rPr>
            </w:pPr>
          </w:p>
        </w:tc>
      </w:tr>
      <w:tr w:rsidR="00A44115" w:rsidRPr="00590569" w14:paraId="3B9E1551" w14:textId="6752BA6E" w:rsidTr="00A44115">
        <w:tc>
          <w:tcPr>
            <w:tcW w:w="3686" w:type="dxa"/>
          </w:tcPr>
          <w:p w14:paraId="7C8BB7BE" w14:textId="77777777" w:rsidR="00A44115" w:rsidRPr="00590569" w:rsidRDefault="00A44115" w:rsidP="004A6DF0">
            <w:pPr>
              <w:pStyle w:val="Sinespaciado"/>
              <w:jc w:val="both"/>
              <w:rPr>
                <w:rFonts w:ascii="Baskerville" w:hAnsi="Baskerville"/>
                <w:i/>
                <w:iCs/>
                <w:sz w:val="21"/>
                <w:szCs w:val="21"/>
              </w:rPr>
            </w:pPr>
          </w:p>
        </w:tc>
        <w:tc>
          <w:tcPr>
            <w:tcW w:w="3686" w:type="dxa"/>
          </w:tcPr>
          <w:p w14:paraId="7C7B69C2" w14:textId="77777777" w:rsidR="00A44115" w:rsidRPr="00590569" w:rsidRDefault="00A44115" w:rsidP="004A6DF0">
            <w:pPr>
              <w:pStyle w:val="Sinespaciado"/>
              <w:jc w:val="both"/>
              <w:rPr>
                <w:rFonts w:ascii="Baskerville" w:hAnsi="Baskerville"/>
                <w:sz w:val="21"/>
                <w:szCs w:val="21"/>
              </w:rPr>
            </w:pPr>
            <w:r w:rsidRPr="00590569">
              <w:rPr>
                <w:rFonts w:ascii="Baskerville" w:hAnsi="Baskerville" w:cs="Arial"/>
                <w:sz w:val="21"/>
                <w:szCs w:val="21"/>
              </w:rPr>
              <w:t xml:space="preserve">ÚNICA. - La presente Ley Orgánica Reformatoria, entrará en vigencia a partir de la fecha de su publicación en el Registro Oficial. Dada y suscrita, en la sede de la Asamblea Nacional, ubicada en el Distrito Metropolitano de Quito, a los </w:t>
            </w:r>
          </w:p>
          <w:p w14:paraId="1714E671" w14:textId="77777777" w:rsidR="00A44115" w:rsidRPr="00590569" w:rsidRDefault="00A44115" w:rsidP="004A6DF0">
            <w:pPr>
              <w:pStyle w:val="Sinespaciado"/>
              <w:jc w:val="both"/>
              <w:rPr>
                <w:rFonts w:ascii="Baskerville" w:hAnsi="Baskerville" w:cs="Arial"/>
                <w:sz w:val="21"/>
                <w:szCs w:val="21"/>
              </w:rPr>
            </w:pPr>
          </w:p>
        </w:tc>
        <w:tc>
          <w:tcPr>
            <w:tcW w:w="3685" w:type="dxa"/>
          </w:tcPr>
          <w:p w14:paraId="16F1387B" w14:textId="77777777" w:rsidR="00A44115" w:rsidRPr="00590569" w:rsidRDefault="00A44115" w:rsidP="004A6DF0">
            <w:pPr>
              <w:pStyle w:val="Sinespaciado"/>
              <w:jc w:val="both"/>
              <w:rPr>
                <w:rFonts w:ascii="Baskerville" w:hAnsi="Baskerville"/>
                <w:sz w:val="21"/>
                <w:szCs w:val="21"/>
              </w:rPr>
            </w:pPr>
            <w:r w:rsidRPr="00590569">
              <w:rPr>
                <w:rFonts w:ascii="Baskerville" w:hAnsi="Baskerville"/>
                <w:b/>
                <w:bCs/>
                <w:sz w:val="21"/>
                <w:szCs w:val="21"/>
              </w:rPr>
              <w:t xml:space="preserve">Disposición General Única.- </w:t>
            </w:r>
            <w:r w:rsidRPr="00590569">
              <w:rPr>
                <w:rFonts w:ascii="Baskerville" w:hAnsi="Baskerville"/>
                <w:sz w:val="21"/>
                <w:szCs w:val="21"/>
              </w:rPr>
              <w:t xml:space="preserve">Ninguna norma ni cualquier otro acto de autoridad alguna podrá menoscabar los derechos de los gobiernos autónomos descentralizados, en sus diferentes niveles, respecto de las asignaciones establecidas por la presente Ley. </w:t>
            </w:r>
          </w:p>
          <w:p w14:paraId="17D93E9E" w14:textId="77777777" w:rsidR="00A44115" w:rsidRPr="00590569" w:rsidRDefault="00A44115" w:rsidP="004A6DF0">
            <w:pPr>
              <w:pStyle w:val="Sinespaciado"/>
              <w:jc w:val="both"/>
              <w:rPr>
                <w:rFonts w:ascii="Baskerville" w:hAnsi="Baskerville"/>
                <w:i/>
                <w:iCs/>
                <w:sz w:val="21"/>
                <w:szCs w:val="21"/>
              </w:rPr>
            </w:pPr>
          </w:p>
        </w:tc>
        <w:tc>
          <w:tcPr>
            <w:tcW w:w="4253" w:type="dxa"/>
          </w:tcPr>
          <w:p w14:paraId="5541A2B6" w14:textId="40ABE542" w:rsidR="00F7547E" w:rsidRPr="00F7547E" w:rsidRDefault="00F7547E" w:rsidP="004A6DF0">
            <w:pPr>
              <w:pStyle w:val="NormalWeb"/>
              <w:shd w:val="clear" w:color="auto" w:fill="FFFFFF"/>
              <w:jc w:val="both"/>
              <w:rPr>
                <w:rFonts w:ascii="Baskerville" w:hAnsi="Baskerville"/>
                <w:sz w:val="21"/>
                <w:szCs w:val="21"/>
              </w:rPr>
            </w:pPr>
            <w:r w:rsidRPr="00F7547E">
              <w:rPr>
                <w:rFonts w:ascii="Baskerville" w:hAnsi="Baskerville"/>
                <w:b/>
                <w:bCs/>
                <w:sz w:val="21"/>
                <w:szCs w:val="21"/>
              </w:rPr>
              <w:t xml:space="preserve">Artículo </w:t>
            </w:r>
            <w:r>
              <w:rPr>
                <w:rFonts w:ascii="Baskerville" w:hAnsi="Baskerville"/>
                <w:b/>
                <w:bCs/>
                <w:sz w:val="21"/>
                <w:szCs w:val="21"/>
              </w:rPr>
              <w:t>6</w:t>
            </w:r>
            <w:r w:rsidRPr="00F7547E">
              <w:rPr>
                <w:rFonts w:ascii="Baskerville" w:hAnsi="Baskerville"/>
                <w:b/>
                <w:bCs/>
                <w:sz w:val="21"/>
                <w:szCs w:val="21"/>
              </w:rPr>
              <w:t>.-</w:t>
            </w:r>
            <w:r w:rsidRPr="00F7547E">
              <w:rPr>
                <w:rFonts w:ascii="Baskerville" w:hAnsi="Baskerville"/>
                <w:sz w:val="21"/>
                <w:szCs w:val="21"/>
              </w:rPr>
              <w:t xml:space="preserve">  </w:t>
            </w:r>
            <w:r>
              <w:rPr>
                <w:rFonts w:ascii="Baskerville" w:hAnsi="Baskerville"/>
                <w:sz w:val="21"/>
                <w:szCs w:val="21"/>
              </w:rPr>
              <w:t xml:space="preserve">Agréguese la siguiente Disposición General Única </w:t>
            </w:r>
            <w:r w:rsidRPr="00F7547E">
              <w:rPr>
                <w:rFonts w:ascii="Baskerville" w:hAnsi="Baskerville"/>
                <w:sz w:val="21"/>
                <w:szCs w:val="21"/>
              </w:rPr>
              <w:t>de la Ley 047</w:t>
            </w:r>
            <w:r>
              <w:rPr>
                <w:rFonts w:ascii="Baskerville" w:hAnsi="Baskerville"/>
                <w:sz w:val="21"/>
                <w:szCs w:val="21"/>
              </w:rPr>
              <w:t>, con el siguiente texto:</w:t>
            </w:r>
          </w:p>
          <w:p w14:paraId="5A6B6C69" w14:textId="2411ADB4" w:rsidR="00A44115" w:rsidRPr="00590569" w:rsidRDefault="00A44115" w:rsidP="004A6DF0">
            <w:pPr>
              <w:pStyle w:val="Sinespaciado"/>
              <w:jc w:val="both"/>
              <w:rPr>
                <w:rFonts w:ascii="Baskerville" w:hAnsi="Baskerville"/>
                <w:sz w:val="21"/>
                <w:szCs w:val="21"/>
              </w:rPr>
            </w:pPr>
            <w:r w:rsidRPr="00590569">
              <w:rPr>
                <w:rFonts w:ascii="Baskerville" w:hAnsi="Baskerville"/>
                <w:b/>
                <w:bCs/>
                <w:sz w:val="21"/>
                <w:szCs w:val="21"/>
              </w:rPr>
              <w:t xml:space="preserve">Disposición General Única.- </w:t>
            </w:r>
            <w:r w:rsidRPr="00590569">
              <w:rPr>
                <w:rFonts w:ascii="Baskerville" w:hAnsi="Baskerville"/>
                <w:sz w:val="21"/>
                <w:szCs w:val="21"/>
              </w:rPr>
              <w:t xml:space="preserve">Ninguna norma ni cualquier otro acto de autoridad alguna podrá menoscabar los derechos de los gobiernos autónomos descentralizados, en sus diferentes niveles, respecto de las asignaciones establecidas por la presente Ley. </w:t>
            </w:r>
          </w:p>
          <w:p w14:paraId="6BC6FA4E" w14:textId="77777777" w:rsidR="00A44115" w:rsidRPr="00590569" w:rsidRDefault="00A44115" w:rsidP="004A6DF0">
            <w:pPr>
              <w:pStyle w:val="Sinespaciado"/>
              <w:jc w:val="both"/>
              <w:rPr>
                <w:rFonts w:ascii="Baskerville" w:hAnsi="Baskerville"/>
                <w:i/>
                <w:iCs/>
                <w:sz w:val="21"/>
                <w:szCs w:val="21"/>
              </w:rPr>
            </w:pPr>
          </w:p>
        </w:tc>
      </w:tr>
    </w:tbl>
    <w:p w14:paraId="5424438E" w14:textId="77777777" w:rsidR="00201CF1" w:rsidRPr="00590569" w:rsidRDefault="00201CF1" w:rsidP="004A6DF0">
      <w:pPr>
        <w:pStyle w:val="Sinespaciado"/>
        <w:jc w:val="both"/>
        <w:rPr>
          <w:rFonts w:ascii="Baskerville" w:hAnsi="Baskerville"/>
          <w:i/>
          <w:iCs/>
          <w:sz w:val="21"/>
          <w:szCs w:val="21"/>
        </w:rPr>
      </w:pPr>
    </w:p>
    <w:sectPr w:rsidR="00201CF1" w:rsidRPr="00590569" w:rsidSect="00CD4AAB">
      <w:pgSz w:w="16838" w:h="11906"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ime Salazar" w:date="2022-02-24T16:41:00Z" w:initials="JS">
    <w:p w14:paraId="7BCE0E7C" w14:textId="32245B05" w:rsidR="00E4003E" w:rsidRDefault="00E4003E">
      <w:pPr>
        <w:pStyle w:val="Textocomentario"/>
      </w:pPr>
      <w:r>
        <w:t>Redistribución, pero la misma cantidad de dinero.</w:t>
      </w:r>
    </w:p>
    <w:p w14:paraId="6E33D7C1" w14:textId="77777777" w:rsidR="00E4003E" w:rsidRDefault="00E4003E">
      <w:pPr>
        <w:pStyle w:val="Textocomentario"/>
      </w:pPr>
    </w:p>
    <w:p w14:paraId="73A0191E" w14:textId="2B0EB49E" w:rsidR="00E4003E" w:rsidRDefault="00E4003E">
      <w:pPr>
        <w:pStyle w:val="Textocomentario"/>
      </w:pPr>
      <w:r>
        <w:rPr>
          <w:rStyle w:val="Refdecomentario"/>
        </w:rPr>
        <w:annotationRef/>
      </w:r>
      <w:r>
        <w:t>¿Cuánto les tocaría? O sea, cómo se determinaron estos porcentajes. ¿Cuál sería la proyección de la asignación que me correspondería?</w:t>
      </w:r>
    </w:p>
  </w:comment>
  <w:comment w:id="1" w:author="Jaime Salazar" w:date="2022-02-24T17:16:00Z" w:initials="JS">
    <w:p w14:paraId="7DC7AA40" w14:textId="62AC1F18" w:rsidR="00900EAF" w:rsidRDefault="00900EAF">
      <w:pPr>
        <w:pStyle w:val="Textocomentario"/>
      </w:pPr>
      <w:r>
        <w:rPr>
          <w:rStyle w:val="Refdecomentario"/>
        </w:rPr>
        <w:annotationRef/>
      </w:r>
      <w:r>
        <w:t>Porcentajes deberían ser acordados con prefecturas o consensuados. Deberían llamarles a los prefectos.</w:t>
      </w:r>
    </w:p>
  </w:comment>
  <w:comment w:id="2" w:author="Jaime Salazar" w:date="2022-02-24T16:44:00Z" w:initials="JS">
    <w:p w14:paraId="37C4AE93" w14:textId="66A8BA11" w:rsidR="00E4003E" w:rsidRDefault="00E4003E">
      <w:pPr>
        <w:pStyle w:val="Textocomentario"/>
      </w:pPr>
      <w:r>
        <w:rPr>
          <w:rStyle w:val="Refdecomentario"/>
        </w:rPr>
        <w:annotationRef/>
      </w:r>
      <w:proofErr w:type="gramStart"/>
      <w:r>
        <w:t>Estos recursos van a ser suficientes para intervenir en todos estos ámbitos??</w:t>
      </w:r>
      <w:proofErr w:type="gramEnd"/>
      <w:r>
        <w:t xml:space="preserve"> </w:t>
      </w:r>
      <w:r>
        <w:br/>
      </w:r>
      <w:proofErr w:type="gramStart"/>
      <w:r>
        <w:t>El costo beneficio resulta?</w:t>
      </w:r>
      <w:proofErr w:type="gramEnd"/>
      <w:r>
        <w:br/>
        <w:t>Debería quizás ser más general a que vaya destinado a infraestructura en materia ambiental.</w:t>
      </w:r>
    </w:p>
  </w:comment>
  <w:comment w:id="3" w:author="Jaime Salazar" w:date="2022-02-24T16:30:00Z" w:initials="JS">
    <w:p w14:paraId="7E29B4BF" w14:textId="76725BF0" w:rsidR="00421538" w:rsidRDefault="00421538">
      <w:pPr>
        <w:pStyle w:val="Textocomentario"/>
      </w:pPr>
      <w:r>
        <w:rPr>
          <w:rStyle w:val="Refdecomentario"/>
        </w:rPr>
        <w:annotationRef/>
      </w:r>
      <w:r>
        <w:t>¿plazo?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A0191E" w15:done="0"/>
  <w15:commentEx w15:paraId="7DC7AA40" w15:done="0"/>
  <w15:commentEx w15:paraId="37C4AE93" w15:done="0"/>
  <w15:commentEx w15:paraId="7E29B4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33B3" w16cex:dateUtc="2022-02-24T21:41:00Z"/>
  <w16cex:commentExtensible w16cex:durableId="25C23BF2" w16cex:dateUtc="2022-02-24T22:16:00Z"/>
  <w16cex:commentExtensible w16cex:durableId="25C23450" w16cex:dateUtc="2022-02-24T21:44:00Z"/>
  <w16cex:commentExtensible w16cex:durableId="25C2310B" w16cex:dateUtc="2022-02-24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A0191E" w16cid:durableId="25C233B3"/>
  <w16cid:commentId w16cid:paraId="7DC7AA40" w16cid:durableId="25C23BF2"/>
  <w16cid:commentId w16cid:paraId="37C4AE93" w16cid:durableId="25C23450"/>
  <w16cid:commentId w16cid:paraId="7E29B4BF" w16cid:durableId="25C231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ime Salazar">
    <w15:presenceInfo w15:providerId="AD" w15:userId="S::jsalazar@congope.gob.ec::3ff5b857-8e8a-4520-8f8a-a5c0ba4e93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AB"/>
    <w:rsid w:val="00153544"/>
    <w:rsid w:val="00201CF1"/>
    <w:rsid w:val="00255FCA"/>
    <w:rsid w:val="0028194F"/>
    <w:rsid w:val="003B44F1"/>
    <w:rsid w:val="00421538"/>
    <w:rsid w:val="004A6DF0"/>
    <w:rsid w:val="00590569"/>
    <w:rsid w:val="005B415A"/>
    <w:rsid w:val="00900EAF"/>
    <w:rsid w:val="009D6270"/>
    <w:rsid w:val="00A44115"/>
    <w:rsid w:val="00A54899"/>
    <w:rsid w:val="00AA6B0F"/>
    <w:rsid w:val="00AE73AF"/>
    <w:rsid w:val="00B67245"/>
    <w:rsid w:val="00BD50B8"/>
    <w:rsid w:val="00C21091"/>
    <w:rsid w:val="00CD4AAB"/>
    <w:rsid w:val="00DA2A21"/>
    <w:rsid w:val="00E269A1"/>
    <w:rsid w:val="00E4003E"/>
    <w:rsid w:val="00F326E2"/>
    <w:rsid w:val="00F46586"/>
    <w:rsid w:val="00F7547E"/>
    <w:rsid w:val="00F8120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5074"/>
  <w15:chartTrackingRefBased/>
  <w15:docId w15:val="{1238C142-A018-C347-B408-10D0FE60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47E"/>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D4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5FCA"/>
    <w:pPr>
      <w:spacing w:before="100" w:beforeAutospacing="1" w:after="100" w:afterAutospacing="1"/>
    </w:pPr>
  </w:style>
  <w:style w:type="character" w:styleId="Hipervnculo">
    <w:name w:val="Hyperlink"/>
    <w:basedOn w:val="Fuentedeprrafopredeter"/>
    <w:uiPriority w:val="99"/>
    <w:semiHidden/>
    <w:unhideWhenUsed/>
    <w:rsid w:val="00590569"/>
    <w:rPr>
      <w:color w:val="0000FF"/>
      <w:u w:val="single"/>
    </w:rPr>
  </w:style>
  <w:style w:type="paragraph" w:styleId="Sinespaciado">
    <w:name w:val="No Spacing"/>
    <w:uiPriority w:val="1"/>
    <w:qFormat/>
    <w:rsid w:val="00A44115"/>
    <w:rPr>
      <w:rFonts w:ascii="Times New Roman" w:eastAsia="Times New Roman" w:hAnsi="Times New Roman" w:cs="Times New Roman"/>
      <w:lang w:eastAsia="es-ES_tradnl"/>
    </w:rPr>
  </w:style>
  <w:style w:type="character" w:styleId="Refdecomentario">
    <w:name w:val="annotation reference"/>
    <w:basedOn w:val="Fuentedeprrafopredeter"/>
    <w:uiPriority w:val="99"/>
    <w:semiHidden/>
    <w:unhideWhenUsed/>
    <w:rsid w:val="00421538"/>
    <w:rPr>
      <w:sz w:val="16"/>
      <w:szCs w:val="16"/>
    </w:rPr>
  </w:style>
  <w:style w:type="paragraph" w:styleId="Textocomentario">
    <w:name w:val="annotation text"/>
    <w:basedOn w:val="Normal"/>
    <w:link w:val="TextocomentarioCar"/>
    <w:uiPriority w:val="99"/>
    <w:semiHidden/>
    <w:unhideWhenUsed/>
    <w:rsid w:val="00421538"/>
    <w:rPr>
      <w:sz w:val="20"/>
      <w:szCs w:val="20"/>
    </w:rPr>
  </w:style>
  <w:style w:type="character" w:customStyle="1" w:styleId="TextocomentarioCar">
    <w:name w:val="Texto comentario Car"/>
    <w:basedOn w:val="Fuentedeprrafopredeter"/>
    <w:link w:val="Textocomentario"/>
    <w:uiPriority w:val="99"/>
    <w:semiHidden/>
    <w:rsid w:val="00421538"/>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421538"/>
    <w:rPr>
      <w:b/>
      <w:bCs/>
    </w:rPr>
  </w:style>
  <w:style w:type="character" w:customStyle="1" w:styleId="AsuntodelcomentarioCar">
    <w:name w:val="Asunto del comentario Car"/>
    <w:basedOn w:val="TextocomentarioCar"/>
    <w:link w:val="Asuntodelcomentario"/>
    <w:uiPriority w:val="99"/>
    <w:semiHidden/>
    <w:rsid w:val="00421538"/>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615">
      <w:bodyDiv w:val="1"/>
      <w:marLeft w:val="0"/>
      <w:marRight w:val="0"/>
      <w:marTop w:val="0"/>
      <w:marBottom w:val="0"/>
      <w:divBdr>
        <w:top w:val="none" w:sz="0" w:space="0" w:color="auto"/>
        <w:left w:val="none" w:sz="0" w:space="0" w:color="auto"/>
        <w:bottom w:val="none" w:sz="0" w:space="0" w:color="auto"/>
        <w:right w:val="none" w:sz="0" w:space="0" w:color="auto"/>
      </w:divBdr>
      <w:divsChild>
        <w:div w:id="1025254526">
          <w:marLeft w:val="0"/>
          <w:marRight w:val="0"/>
          <w:marTop w:val="0"/>
          <w:marBottom w:val="0"/>
          <w:divBdr>
            <w:top w:val="none" w:sz="0" w:space="0" w:color="auto"/>
            <w:left w:val="none" w:sz="0" w:space="0" w:color="auto"/>
            <w:bottom w:val="none" w:sz="0" w:space="0" w:color="auto"/>
            <w:right w:val="none" w:sz="0" w:space="0" w:color="auto"/>
          </w:divBdr>
          <w:divsChild>
            <w:div w:id="757019126">
              <w:marLeft w:val="0"/>
              <w:marRight w:val="0"/>
              <w:marTop w:val="0"/>
              <w:marBottom w:val="0"/>
              <w:divBdr>
                <w:top w:val="none" w:sz="0" w:space="0" w:color="auto"/>
                <w:left w:val="none" w:sz="0" w:space="0" w:color="auto"/>
                <w:bottom w:val="none" w:sz="0" w:space="0" w:color="auto"/>
                <w:right w:val="none" w:sz="0" w:space="0" w:color="auto"/>
              </w:divBdr>
              <w:divsChild>
                <w:div w:id="1272199767">
                  <w:marLeft w:val="0"/>
                  <w:marRight w:val="0"/>
                  <w:marTop w:val="0"/>
                  <w:marBottom w:val="0"/>
                  <w:divBdr>
                    <w:top w:val="none" w:sz="0" w:space="0" w:color="auto"/>
                    <w:left w:val="none" w:sz="0" w:space="0" w:color="auto"/>
                    <w:bottom w:val="none" w:sz="0" w:space="0" w:color="auto"/>
                    <w:right w:val="none" w:sz="0" w:space="0" w:color="auto"/>
                  </w:divBdr>
                  <w:divsChild>
                    <w:div w:id="10358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39163">
      <w:bodyDiv w:val="1"/>
      <w:marLeft w:val="0"/>
      <w:marRight w:val="0"/>
      <w:marTop w:val="0"/>
      <w:marBottom w:val="0"/>
      <w:divBdr>
        <w:top w:val="none" w:sz="0" w:space="0" w:color="auto"/>
        <w:left w:val="none" w:sz="0" w:space="0" w:color="auto"/>
        <w:bottom w:val="none" w:sz="0" w:space="0" w:color="auto"/>
        <w:right w:val="none" w:sz="0" w:space="0" w:color="auto"/>
      </w:divBdr>
      <w:divsChild>
        <w:div w:id="1009260873">
          <w:marLeft w:val="0"/>
          <w:marRight w:val="0"/>
          <w:marTop w:val="0"/>
          <w:marBottom w:val="0"/>
          <w:divBdr>
            <w:top w:val="none" w:sz="0" w:space="0" w:color="auto"/>
            <w:left w:val="none" w:sz="0" w:space="0" w:color="auto"/>
            <w:bottom w:val="none" w:sz="0" w:space="0" w:color="auto"/>
            <w:right w:val="none" w:sz="0" w:space="0" w:color="auto"/>
          </w:divBdr>
          <w:divsChild>
            <w:div w:id="871500052">
              <w:marLeft w:val="0"/>
              <w:marRight w:val="0"/>
              <w:marTop w:val="0"/>
              <w:marBottom w:val="0"/>
              <w:divBdr>
                <w:top w:val="none" w:sz="0" w:space="0" w:color="auto"/>
                <w:left w:val="none" w:sz="0" w:space="0" w:color="auto"/>
                <w:bottom w:val="none" w:sz="0" w:space="0" w:color="auto"/>
                <w:right w:val="none" w:sz="0" w:space="0" w:color="auto"/>
              </w:divBdr>
              <w:divsChild>
                <w:div w:id="1458446445">
                  <w:marLeft w:val="0"/>
                  <w:marRight w:val="0"/>
                  <w:marTop w:val="0"/>
                  <w:marBottom w:val="0"/>
                  <w:divBdr>
                    <w:top w:val="none" w:sz="0" w:space="0" w:color="auto"/>
                    <w:left w:val="none" w:sz="0" w:space="0" w:color="auto"/>
                    <w:bottom w:val="none" w:sz="0" w:space="0" w:color="auto"/>
                    <w:right w:val="none" w:sz="0" w:space="0" w:color="auto"/>
                  </w:divBdr>
                  <w:divsChild>
                    <w:div w:id="1919092842">
                      <w:marLeft w:val="0"/>
                      <w:marRight w:val="0"/>
                      <w:marTop w:val="0"/>
                      <w:marBottom w:val="0"/>
                      <w:divBdr>
                        <w:top w:val="none" w:sz="0" w:space="0" w:color="auto"/>
                        <w:left w:val="none" w:sz="0" w:space="0" w:color="auto"/>
                        <w:bottom w:val="none" w:sz="0" w:space="0" w:color="auto"/>
                        <w:right w:val="none" w:sz="0" w:space="0" w:color="auto"/>
                      </w:divBdr>
                    </w:div>
                  </w:divsChild>
                </w:div>
                <w:div w:id="2000306218">
                  <w:marLeft w:val="0"/>
                  <w:marRight w:val="0"/>
                  <w:marTop w:val="0"/>
                  <w:marBottom w:val="0"/>
                  <w:divBdr>
                    <w:top w:val="none" w:sz="0" w:space="0" w:color="auto"/>
                    <w:left w:val="none" w:sz="0" w:space="0" w:color="auto"/>
                    <w:bottom w:val="none" w:sz="0" w:space="0" w:color="auto"/>
                    <w:right w:val="none" w:sz="0" w:space="0" w:color="auto"/>
                  </w:divBdr>
                  <w:divsChild>
                    <w:div w:id="63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2861">
      <w:bodyDiv w:val="1"/>
      <w:marLeft w:val="0"/>
      <w:marRight w:val="0"/>
      <w:marTop w:val="0"/>
      <w:marBottom w:val="0"/>
      <w:divBdr>
        <w:top w:val="none" w:sz="0" w:space="0" w:color="auto"/>
        <w:left w:val="none" w:sz="0" w:space="0" w:color="auto"/>
        <w:bottom w:val="none" w:sz="0" w:space="0" w:color="auto"/>
        <w:right w:val="none" w:sz="0" w:space="0" w:color="auto"/>
      </w:divBdr>
      <w:divsChild>
        <w:div w:id="279648405">
          <w:marLeft w:val="0"/>
          <w:marRight w:val="0"/>
          <w:marTop w:val="0"/>
          <w:marBottom w:val="0"/>
          <w:divBdr>
            <w:top w:val="none" w:sz="0" w:space="0" w:color="auto"/>
            <w:left w:val="none" w:sz="0" w:space="0" w:color="auto"/>
            <w:bottom w:val="none" w:sz="0" w:space="0" w:color="auto"/>
            <w:right w:val="none" w:sz="0" w:space="0" w:color="auto"/>
          </w:divBdr>
          <w:divsChild>
            <w:div w:id="453213290">
              <w:marLeft w:val="0"/>
              <w:marRight w:val="0"/>
              <w:marTop w:val="0"/>
              <w:marBottom w:val="0"/>
              <w:divBdr>
                <w:top w:val="none" w:sz="0" w:space="0" w:color="auto"/>
                <w:left w:val="none" w:sz="0" w:space="0" w:color="auto"/>
                <w:bottom w:val="none" w:sz="0" w:space="0" w:color="auto"/>
                <w:right w:val="none" w:sz="0" w:space="0" w:color="auto"/>
              </w:divBdr>
              <w:divsChild>
                <w:div w:id="1693800538">
                  <w:marLeft w:val="0"/>
                  <w:marRight w:val="0"/>
                  <w:marTop w:val="0"/>
                  <w:marBottom w:val="0"/>
                  <w:divBdr>
                    <w:top w:val="none" w:sz="0" w:space="0" w:color="auto"/>
                    <w:left w:val="none" w:sz="0" w:space="0" w:color="auto"/>
                    <w:bottom w:val="none" w:sz="0" w:space="0" w:color="auto"/>
                    <w:right w:val="none" w:sz="0" w:space="0" w:color="auto"/>
                  </w:divBdr>
                  <w:divsChild>
                    <w:div w:id="19054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98973">
      <w:bodyDiv w:val="1"/>
      <w:marLeft w:val="0"/>
      <w:marRight w:val="0"/>
      <w:marTop w:val="0"/>
      <w:marBottom w:val="0"/>
      <w:divBdr>
        <w:top w:val="none" w:sz="0" w:space="0" w:color="auto"/>
        <w:left w:val="none" w:sz="0" w:space="0" w:color="auto"/>
        <w:bottom w:val="none" w:sz="0" w:space="0" w:color="auto"/>
        <w:right w:val="none" w:sz="0" w:space="0" w:color="auto"/>
      </w:divBdr>
      <w:divsChild>
        <w:div w:id="150946981">
          <w:marLeft w:val="0"/>
          <w:marRight w:val="0"/>
          <w:marTop w:val="0"/>
          <w:marBottom w:val="0"/>
          <w:divBdr>
            <w:top w:val="none" w:sz="0" w:space="0" w:color="auto"/>
            <w:left w:val="none" w:sz="0" w:space="0" w:color="auto"/>
            <w:bottom w:val="none" w:sz="0" w:space="0" w:color="auto"/>
            <w:right w:val="none" w:sz="0" w:space="0" w:color="auto"/>
          </w:divBdr>
          <w:divsChild>
            <w:div w:id="441265195">
              <w:marLeft w:val="0"/>
              <w:marRight w:val="0"/>
              <w:marTop w:val="0"/>
              <w:marBottom w:val="0"/>
              <w:divBdr>
                <w:top w:val="none" w:sz="0" w:space="0" w:color="auto"/>
                <w:left w:val="none" w:sz="0" w:space="0" w:color="auto"/>
                <w:bottom w:val="none" w:sz="0" w:space="0" w:color="auto"/>
                <w:right w:val="none" w:sz="0" w:space="0" w:color="auto"/>
              </w:divBdr>
              <w:divsChild>
                <w:div w:id="1558512908">
                  <w:marLeft w:val="0"/>
                  <w:marRight w:val="0"/>
                  <w:marTop w:val="0"/>
                  <w:marBottom w:val="0"/>
                  <w:divBdr>
                    <w:top w:val="none" w:sz="0" w:space="0" w:color="auto"/>
                    <w:left w:val="none" w:sz="0" w:space="0" w:color="auto"/>
                    <w:bottom w:val="none" w:sz="0" w:space="0" w:color="auto"/>
                    <w:right w:val="none" w:sz="0" w:space="0" w:color="auto"/>
                  </w:divBdr>
                  <w:divsChild>
                    <w:div w:id="8519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6071">
      <w:bodyDiv w:val="1"/>
      <w:marLeft w:val="0"/>
      <w:marRight w:val="0"/>
      <w:marTop w:val="0"/>
      <w:marBottom w:val="0"/>
      <w:divBdr>
        <w:top w:val="none" w:sz="0" w:space="0" w:color="auto"/>
        <w:left w:val="none" w:sz="0" w:space="0" w:color="auto"/>
        <w:bottom w:val="none" w:sz="0" w:space="0" w:color="auto"/>
        <w:right w:val="none" w:sz="0" w:space="0" w:color="auto"/>
      </w:divBdr>
      <w:divsChild>
        <w:div w:id="2113743959">
          <w:marLeft w:val="0"/>
          <w:marRight w:val="0"/>
          <w:marTop w:val="0"/>
          <w:marBottom w:val="0"/>
          <w:divBdr>
            <w:top w:val="none" w:sz="0" w:space="0" w:color="auto"/>
            <w:left w:val="none" w:sz="0" w:space="0" w:color="auto"/>
            <w:bottom w:val="none" w:sz="0" w:space="0" w:color="auto"/>
            <w:right w:val="none" w:sz="0" w:space="0" w:color="auto"/>
          </w:divBdr>
        </w:div>
      </w:divsChild>
    </w:div>
    <w:div w:id="332028021">
      <w:bodyDiv w:val="1"/>
      <w:marLeft w:val="0"/>
      <w:marRight w:val="0"/>
      <w:marTop w:val="0"/>
      <w:marBottom w:val="0"/>
      <w:divBdr>
        <w:top w:val="none" w:sz="0" w:space="0" w:color="auto"/>
        <w:left w:val="none" w:sz="0" w:space="0" w:color="auto"/>
        <w:bottom w:val="none" w:sz="0" w:space="0" w:color="auto"/>
        <w:right w:val="none" w:sz="0" w:space="0" w:color="auto"/>
      </w:divBdr>
    </w:div>
    <w:div w:id="338703516">
      <w:bodyDiv w:val="1"/>
      <w:marLeft w:val="0"/>
      <w:marRight w:val="0"/>
      <w:marTop w:val="0"/>
      <w:marBottom w:val="0"/>
      <w:divBdr>
        <w:top w:val="none" w:sz="0" w:space="0" w:color="auto"/>
        <w:left w:val="none" w:sz="0" w:space="0" w:color="auto"/>
        <w:bottom w:val="none" w:sz="0" w:space="0" w:color="auto"/>
        <w:right w:val="none" w:sz="0" w:space="0" w:color="auto"/>
      </w:divBdr>
      <w:divsChild>
        <w:div w:id="924270210">
          <w:marLeft w:val="0"/>
          <w:marRight w:val="0"/>
          <w:marTop w:val="0"/>
          <w:marBottom w:val="0"/>
          <w:divBdr>
            <w:top w:val="none" w:sz="0" w:space="0" w:color="auto"/>
            <w:left w:val="none" w:sz="0" w:space="0" w:color="auto"/>
            <w:bottom w:val="none" w:sz="0" w:space="0" w:color="auto"/>
            <w:right w:val="none" w:sz="0" w:space="0" w:color="auto"/>
          </w:divBdr>
          <w:divsChild>
            <w:div w:id="1713990875">
              <w:marLeft w:val="0"/>
              <w:marRight w:val="0"/>
              <w:marTop w:val="0"/>
              <w:marBottom w:val="0"/>
              <w:divBdr>
                <w:top w:val="none" w:sz="0" w:space="0" w:color="auto"/>
                <w:left w:val="none" w:sz="0" w:space="0" w:color="auto"/>
                <w:bottom w:val="none" w:sz="0" w:space="0" w:color="auto"/>
                <w:right w:val="none" w:sz="0" w:space="0" w:color="auto"/>
              </w:divBdr>
              <w:divsChild>
                <w:div w:id="1576822664">
                  <w:marLeft w:val="0"/>
                  <w:marRight w:val="0"/>
                  <w:marTop w:val="0"/>
                  <w:marBottom w:val="0"/>
                  <w:divBdr>
                    <w:top w:val="none" w:sz="0" w:space="0" w:color="auto"/>
                    <w:left w:val="none" w:sz="0" w:space="0" w:color="auto"/>
                    <w:bottom w:val="none" w:sz="0" w:space="0" w:color="auto"/>
                    <w:right w:val="none" w:sz="0" w:space="0" w:color="auto"/>
                  </w:divBdr>
                  <w:divsChild>
                    <w:div w:id="6404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363780">
      <w:bodyDiv w:val="1"/>
      <w:marLeft w:val="0"/>
      <w:marRight w:val="0"/>
      <w:marTop w:val="0"/>
      <w:marBottom w:val="0"/>
      <w:divBdr>
        <w:top w:val="none" w:sz="0" w:space="0" w:color="auto"/>
        <w:left w:val="none" w:sz="0" w:space="0" w:color="auto"/>
        <w:bottom w:val="none" w:sz="0" w:space="0" w:color="auto"/>
        <w:right w:val="none" w:sz="0" w:space="0" w:color="auto"/>
      </w:divBdr>
    </w:div>
    <w:div w:id="630019121">
      <w:bodyDiv w:val="1"/>
      <w:marLeft w:val="0"/>
      <w:marRight w:val="0"/>
      <w:marTop w:val="0"/>
      <w:marBottom w:val="0"/>
      <w:divBdr>
        <w:top w:val="none" w:sz="0" w:space="0" w:color="auto"/>
        <w:left w:val="none" w:sz="0" w:space="0" w:color="auto"/>
        <w:bottom w:val="none" w:sz="0" w:space="0" w:color="auto"/>
        <w:right w:val="none" w:sz="0" w:space="0" w:color="auto"/>
      </w:divBdr>
    </w:div>
    <w:div w:id="668096398">
      <w:bodyDiv w:val="1"/>
      <w:marLeft w:val="0"/>
      <w:marRight w:val="0"/>
      <w:marTop w:val="0"/>
      <w:marBottom w:val="0"/>
      <w:divBdr>
        <w:top w:val="none" w:sz="0" w:space="0" w:color="auto"/>
        <w:left w:val="none" w:sz="0" w:space="0" w:color="auto"/>
        <w:bottom w:val="none" w:sz="0" w:space="0" w:color="auto"/>
        <w:right w:val="none" w:sz="0" w:space="0" w:color="auto"/>
      </w:divBdr>
      <w:divsChild>
        <w:div w:id="939800624">
          <w:marLeft w:val="0"/>
          <w:marRight w:val="0"/>
          <w:marTop w:val="0"/>
          <w:marBottom w:val="0"/>
          <w:divBdr>
            <w:top w:val="none" w:sz="0" w:space="0" w:color="auto"/>
            <w:left w:val="none" w:sz="0" w:space="0" w:color="auto"/>
            <w:bottom w:val="none" w:sz="0" w:space="0" w:color="auto"/>
            <w:right w:val="none" w:sz="0" w:space="0" w:color="auto"/>
          </w:divBdr>
          <w:divsChild>
            <w:div w:id="661809317">
              <w:marLeft w:val="0"/>
              <w:marRight w:val="0"/>
              <w:marTop w:val="0"/>
              <w:marBottom w:val="0"/>
              <w:divBdr>
                <w:top w:val="none" w:sz="0" w:space="0" w:color="auto"/>
                <w:left w:val="none" w:sz="0" w:space="0" w:color="auto"/>
                <w:bottom w:val="none" w:sz="0" w:space="0" w:color="auto"/>
                <w:right w:val="none" w:sz="0" w:space="0" w:color="auto"/>
              </w:divBdr>
              <w:divsChild>
                <w:div w:id="1455246012">
                  <w:marLeft w:val="0"/>
                  <w:marRight w:val="0"/>
                  <w:marTop w:val="0"/>
                  <w:marBottom w:val="0"/>
                  <w:divBdr>
                    <w:top w:val="none" w:sz="0" w:space="0" w:color="auto"/>
                    <w:left w:val="none" w:sz="0" w:space="0" w:color="auto"/>
                    <w:bottom w:val="none" w:sz="0" w:space="0" w:color="auto"/>
                    <w:right w:val="none" w:sz="0" w:space="0" w:color="auto"/>
                  </w:divBdr>
                  <w:divsChild>
                    <w:div w:id="15924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286">
      <w:bodyDiv w:val="1"/>
      <w:marLeft w:val="0"/>
      <w:marRight w:val="0"/>
      <w:marTop w:val="0"/>
      <w:marBottom w:val="0"/>
      <w:divBdr>
        <w:top w:val="none" w:sz="0" w:space="0" w:color="auto"/>
        <w:left w:val="none" w:sz="0" w:space="0" w:color="auto"/>
        <w:bottom w:val="none" w:sz="0" w:space="0" w:color="auto"/>
        <w:right w:val="none" w:sz="0" w:space="0" w:color="auto"/>
      </w:divBdr>
      <w:divsChild>
        <w:div w:id="1044518967">
          <w:marLeft w:val="0"/>
          <w:marRight w:val="0"/>
          <w:marTop w:val="0"/>
          <w:marBottom w:val="0"/>
          <w:divBdr>
            <w:top w:val="none" w:sz="0" w:space="0" w:color="auto"/>
            <w:left w:val="none" w:sz="0" w:space="0" w:color="auto"/>
            <w:bottom w:val="none" w:sz="0" w:space="0" w:color="auto"/>
            <w:right w:val="none" w:sz="0" w:space="0" w:color="auto"/>
          </w:divBdr>
          <w:divsChild>
            <w:div w:id="119037651">
              <w:marLeft w:val="0"/>
              <w:marRight w:val="0"/>
              <w:marTop w:val="0"/>
              <w:marBottom w:val="0"/>
              <w:divBdr>
                <w:top w:val="none" w:sz="0" w:space="0" w:color="auto"/>
                <w:left w:val="none" w:sz="0" w:space="0" w:color="auto"/>
                <w:bottom w:val="none" w:sz="0" w:space="0" w:color="auto"/>
                <w:right w:val="none" w:sz="0" w:space="0" w:color="auto"/>
              </w:divBdr>
              <w:divsChild>
                <w:div w:id="1632053534">
                  <w:marLeft w:val="0"/>
                  <w:marRight w:val="0"/>
                  <w:marTop w:val="0"/>
                  <w:marBottom w:val="0"/>
                  <w:divBdr>
                    <w:top w:val="none" w:sz="0" w:space="0" w:color="auto"/>
                    <w:left w:val="none" w:sz="0" w:space="0" w:color="auto"/>
                    <w:bottom w:val="none" w:sz="0" w:space="0" w:color="auto"/>
                    <w:right w:val="none" w:sz="0" w:space="0" w:color="auto"/>
                  </w:divBdr>
                </w:div>
              </w:divsChild>
            </w:div>
            <w:div w:id="2023431752">
              <w:marLeft w:val="0"/>
              <w:marRight w:val="0"/>
              <w:marTop w:val="0"/>
              <w:marBottom w:val="0"/>
              <w:divBdr>
                <w:top w:val="none" w:sz="0" w:space="0" w:color="auto"/>
                <w:left w:val="none" w:sz="0" w:space="0" w:color="auto"/>
                <w:bottom w:val="none" w:sz="0" w:space="0" w:color="auto"/>
                <w:right w:val="none" w:sz="0" w:space="0" w:color="auto"/>
              </w:divBdr>
              <w:divsChild>
                <w:div w:id="10542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2945">
          <w:marLeft w:val="0"/>
          <w:marRight w:val="0"/>
          <w:marTop w:val="0"/>
          <w:marBottom w:val="0"/>
          <w:divBdr>
            <w:top w:val="none" w:sz="0" w:space="0" w:color="auto"/>
            <w:left w:val="none" w:sz="0" w:space="0" w:color="auto"/>
            <w:bottom w:val="none" w:sz="0" w:space="0" w:color="auto"/>
            <w:right w:val="none" w:sz="0" w:space="0" w:color="auto"/>
          </w:divBdr>
          <w:divsChild>
            <w:div w:id="921836393">
              <w:marLeft w:val="0"/>
              <w:marRight w:val="0"/>
              <w:marTop w:val="0"/>
              <w:marBottom w:val="0"/>
              <w:divBdr>
                <w:top w:val="none" w:sz="0" w:space="0" w:color="auto"/>
                <w:left w:val="none" w:sz="0" w:space="0" w:color="auto"/>
                <w:bottom w:val="none" w:sz="0" w:space="0" w:color="auto"/>
                <w:right w:val="none" w:sz="0" w:space="0" w:color="auto"/>
              </w:divBdr>
              <w:divsChild>
                <w:div w:id="1558467698">
                  <w:marLeft w:val="0"/>
                  <w:marRight w:val="0"/>
                  <w:marTop w:val="0"/>
                  <w:marBottom w:val="0"/>
                  <w:divBdr>
                    <w:top w:val="none" w:sz="0" w:space="0" w:color="auto"/>
                    <w:left w:val="none" w:sz="0" w:space="0" w:color="auto"/>
                    <w:bottom w:val="none" w:sz="0" w:space="0" w:color="auto"/>
                    <w:right w:val="none" w:sz="0" w:space="0" w:color="auto"/>
                  </w:divBdr>
                  <w:divsChild>
                    <w:div w:id="2368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92123">
      <w:bodyDiv w:val="1"/>
      <w:marLeft w:val="0"/>
      <w:marRight w:val="0"/>
      <w:marTop w:val="0"/>
      <w:marBottom w:val="0"/>
      <w:divBdr>
        <w:top w:val="none" w:sz="0" w:space="0" w:color="auto"/>
        <w:left w:val="none" w:sz="0" w:space="0" w:color="auto"/>
        <w:bottom w:val="none" w:sz="0" w:space="0" w:color="auto"/>
        <w:right w:val="none" w:sz="0" w:space="0" w:color="auto"/>
      </w:divBdr>
      <w:divsChild>
        <w:div w:id="87777955">
          <w:marLeft w:val="0"/>
          <w:marRight w:val="0"/>
          <w:marTop w:val="0"/>
          <w:marBottom w:val="0"/>
          <w:divBdr>
            <w:top w:val="none" w:sz="0" w:space="0" w:color="auto"/>
            <w:left w:val="none" w:sz="0" w:space="0" w:color="auto"/>
            <w:bottom w:val="none" w:sz="0" w:space="0" w:color="auto"/>
            <w:right w:val="none" w:sz="0" w:space="0" w:color="auto"/>
          </w:divBdr>
          <w:divsChild>
            <w:div w:id="2024211396">
              <w:marLeft w:val="0"/>
              <w:marRight w:val="0"/>
              <w:marTop w:val="0"/>
              <w:marBottom w:val="0"/>
              <w:divBdr>
                <w:top w:val="none" w:sz="0" w:space="0" w:color="auto"/>
                <w:left w:val="none" w:sz="0" w:space="0" w:color="auto"/>
                <w:bottom w:val="none" w:sz="0" w:space="0" w:color="auto"/>
                <w:right w:val="none" w:sz="0" w:space="0" w:color="auto"/>
              </w:divBdr>
              <w:divsChild>
                <w:div w:id="1040083321">
                  <w:marLeft w:val="0"/>
                  <w:marRight w:val="0"/>
                  <w:marTop w:val="0"/>
                  <w:marBottom w:val="0"/>
                  <w:divBdr>
                    <w:top w:val="none" w:sz="0" w:space="0" w:color="auto"/>
                    <w:left w:val="none" w:sz="0" w:space="0" w:color="auto"/>
                    <w:bottom w:val="none" w:sz="0" w:space="0" w:color="auto"/>
                    <w:right w:val="none" w:sz="0" w:space="0" w:color="auto"/>
                  </w:divBdr>
                  <w:divsChild>
                    <w:div w:id="14334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4499">
      <w:bodyDiv w:val="1"/>
      <w:marLeft w:val="0"/>
      <w:marRight w:val="0"/>
      <w:marTop w:val="0"/>
      <w:marBottom w:val="0"/>
      <w:divBdr>
        <w:top w:val="none" w:sz="0" w:space="0" w:color="auto"/>
        <w:left w:val="none" w:sz="0" w:space="0" w:color="auto"/>
        <w:bottom w:val="none" w:sz="0" w:space="0" w:color="auto"/>
        <w:right w:val="none" w:sz="0" w:space="0" w:color="auto"/>
      </w:divBdr>
    </w:div>
    <w:div w:id="1123963086">
      <w:bodyDiv w:val="1"/>
      <w:marLeft w:val="0"/>
      <w:marRight w:val="0"/>
      <w:marTop w:val="0"/>
      <w:marBottom w:val="0"/>
      <w:divBdr>
        <w:top w:val="none" w:sz="0" w:space="0" w:color="auto"/>
        <w:left w:val="none" w:sz="0" w:space="0" w:color="auto"/>
        <w:bottom w:val="none" w:sz="0" w:space="0" w:color="auto"/>
        <w:right w:val="none" w:sz="0" w:space="0" w:color="auto"/>
      </w:divBdr>
      <w:divsChild>
        <w:div w:id="614292064">
          <w:marLeft w:val="0"/>
          <w:marRight w:val="0"/>
          <w:marTop w:val="0"/>
          <w:marBottom w:val="0"/>
          <w:divBdr>
            <w:top w:val="none" w:sz="0" w:space="0" w:color="auto"/>
            <w:left w:val="none" w:sz="0" w:space="0" w:color="auto"/>
            <w:bottom w:val="none" w:sz="0" w:space="0" w:color="auto"/>
            <w:right w:val="none" w:sz="0" w:space="0" w:color="auto"/>
          </w:divBdr>
          <w:divsChild>
            <w:div w:id="411127020">
              <w:marLeft w:val="0"/>
              <w:marRight w:val="0"/>
              <w:marTop w:val="0"/>
              <w:marBottom w:val="0"/>
              <w:divBdr>
                <w:top w:val="none" w:sz="0" w:space="0" w:color="auto"/>
                <w:left w:val="none" w:sz="0" w:space="0" w:color="auto"/>
                <w:bottom w:val="none" w:sz="0" w:space="0" w:color="auto"/>
                <w:right w:val="none" w:sz="0" w:space="0" w:color="auto"/>
              </w:divBdr>
              <w:divsChild>
                <w:div w:id="1541238265">
                  <w:marLeft w:val="0"/>
                  <w:marRight w:val="0"/>
                  <w:marTop w:val="0"/>
                  <w:marBottom w:val="0"/>
                  <w:divBdr>
                    <w:top w:val="none" w:sz="0" w:space="0" w:color="auto"/>
                    <w:left w:val="none" w:sz="0" w:space="0" w:color="auto"/>
                    <w:bottom w:val="none" w:sz="0" w:space="0" w:color="auto"/>
                    <w:right w:val="none" w:sz="0" w:space="0" w:color="auto"/>
                  </w:divBdr>
                  <w:divsChild>
                    <w:div w:id="89354677">
                      <w:marLeft w:val="0"/>
                      <w:marRight w:val="0"/>
                      <w:marTop w:val="0"/>
                      <w:marBottom w:val="0"/>
                      <w:divBdr>
                        <w:top w:val="none" w:sz="0" w:space="0" w:color="auto"/>
                        <w:left w:val="none" w:sz="0" w:space="0" w:color="auto"/>
                        <w:bottom w:val="none" w:sz="0" w:space="0" w:color="auto"/>
                        <w:right w:val="none" w:sz="0" w:space="0" w:color="auto"/>
                      </w:divBdr>
                    </w:div>
                  </w:divsChild>
                </w:div>
                <w:div w:id="1686705911">
                  <w:marLeft w:val="0"/>
                  <w:marRight w:val="0"/>
                  <w:marTop w:val="0"/>
                  <w:marBottom w:val="0"/>
                  <w:divBdr>
                    <w:top w:val="none" w:sz="0" w:space="0" w:color="auto"/>
                    <w:left w:val="none" w:sz="0" w:space="0" w:color="auto"/>
                    <w:bottom w:val="none" w:sz="0" w:space="0" w:color="auto"/>
                    <w:right w:val="none" w:sz="0" w:space="0" w:color="auto"/>
                  </w:divBdr>
                  <w:divsChild>
                    <w:div w:id="331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88356">
      <w:bodyDiv w:val="1"/>
      <w:marLeft w:val="0"/>
      <w:marRight w:val="0"/>
      <w:marTop w:val="0"/>
      <w:marBottom w:val="0"/>
      <w:divBdr>
        <w:top w:val="none" w:sz="0" w:space="0" w:color="auto"/>
        <w:left w:val="none" w:sz="0" w:space="0" w:color="auto"/>
        <w:bottom w:val="none" w:sz="0" w:space="0" w:color="auto"/>
        <w:right w:val="none" w:sz="0" w:space="0" w:color="auto"/>
      </w:divBdr>
      <w:divsChild>
        <w:div w:id="787747326">
          <w:marLeft w:val="0"/>
          <w:marRight w:val="0"/>
          <w:marTop w:val="0"/>
          <w:marBottom w:val="0"/>
          <w:divBdr>
            <w:top w:val="none" w:sz="0" w:space="0" w:color="auto"/>
            <w:left w:val="none" w:sz="0" w:space="0" w:color="auto"/>
            <w:bottom w:val="none" w:sz="0" w:space="0" w:color="auto"/>
            <w:right w:val="none" w:sz="0" w:space="0" w:color="auto"/>
          </w:divBdr>
          <w:divsChild>
            <w:div w:id="1114522720">
              <w:marLeft w:val="0"/>
              <w:marRight w:val="0"/>
              <w:marTop w:val="0"/>
              <w:marBottom w:val="0"/>
              <w:divBdr>
                <w:top w:val="none" w:sz="0" w:space="0" w:color="auto"/>
                <w:left w:val="none" w:sz="0" w:space="0" w:color="auto"/>
                <w:bottom w:val="none" w:sz="0" w:space="0" w:color="auto"/>
                <w:right w:val="none" w:sz="0" w:space="0" w:color="auto"/>
              </w:divBdr>
              <w:divsChild>
                <w:div w:id="1423068334">
                  <w:marLeft w:val="0"/>
                  <w:marRight w:val="0"/>
                  <w:marTop w:val="0"/>
                  <w:marBottom w:val="0"/>
                  <w:divBdr>
                    <w:top w:val="none" w:sz="0" w:space="0" w:color="auto"/>
                    <w:left w:val="none" w:sz="0" w:space="0" w:color="auto"/>
                    <w:bottom w:val="none" w:sz="0" w:space="0" w:color="auto"/>
                    <w:right w:val="none" w:sz="0" w:space="0" w:color="auto"/>
                  </w:divBdr>
                  <w:divsChild>
                    <w:div w:id="11417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98461">
      <w:bodyDiv w:val="1"/>
      <w:marLeft w:val="0"/>
      <w:marRight w:val="0"/>
      <w:marTop w:val="0"/>
      <w:marBottom w:val="0"/>
      <w:divBdr>
        <w:top w:val="none" w:sz="0" w:space="0" w:color="auto"/>
        <w:left w:val="none" w:sz="0" w:space="0" w:color="auto"/>
        <w:bottom w:val="none" w:sz="0" w:space="0" w:color="auto"/>
        <w:right w:val="none" w:sz="0" w:space="0" w:color="auto"/>
      </w:divBdr>
      <w:divsChild>
        <w:div w:id="387261865">
          <w:marLeft w:val="0"/>
          <w:marRight w:val="0"/>
          <w:marTop w:val="0"/>
          <w:marBottom w:val="0"/>
          <w:divBdr>
            <w:top w:val="none" w:sz="0" w:space="0" w:color="auto"/>
            <w:left w:val="none" w:sz="0" w:space="0" w:color="auto"/>
            <w:bottom w:val="none" w:sz="0" w:space="0" w:color="auto"/>
            <w:right w:val="none" w:sz="0" w:space="0" w:color="auto"/>
          </w:divBdr>
          <w:divsChild>
            <w:div w:id="781266224">
              <w:marLeft w:val="0"/>
              <w:marRight w:val="0"/>
              <w:marTop w:val="0"/>
              <w:marBottom w:val="0"/>
              <w:divBdr>
                <w:top w:val="none" w:sz="0" w:space="0" w:color="auto"/>
                <w:left w:val="none" w:sz="0" w:space="0" w:color="auto"/>
                <w:bottom w:val="none" w:sz="0" w:space="0" w:color="auto"/>
                <w:right w:val="none" w:sz="0" w:space="0" w:color="auto"/>
              </w:divBdr>
              <w:divsChild>
                <w:div w:id="1733843869">
                  <w:marLeft w:val="0"/>
                  <w:marRight w:val="0"/>
                  <w:marTop w:val="0"/>
                  <w:marBottom w:val="0"/>
                  <w:divBdr>
                    <w:top w:val="none" w:sz="0" w:space="0" w:color="auto"/>
                    <w:left w:val="none" w:sz="0" w:space="0" w:color="auto"/>
                    <w:bottom w:val="none" w:sz="0" w:space="0" w:color="auto"/>
                    <w:right w:val="none" w:sz="0" w:space="0" w:color="auto"/>
                  </w:divBdr>
                  <w:divsChild>
                    <w:div w:id="2101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08524">
      <w:bodyDiv w:val="1"/>
      <w:marLeft w:val="0"/>
      <w:marRight w:val="0"/>
      <w:marTop w:val="0"/>
      <w:marBottom w:val="0"/>
      <w:divBdr>
        <w:top w:val="none" w:sz="0" w:space="0" w:color="auto"/>
        <w:left w:val="none" w:sz="0" w:space="0" w:color="auto"/>
        <w:bottom w:val="none" w:sz="0" w:space="0" w:color="auto"/>
        <w:right w:val="none" w:sz="0" w:space="0" w:color="auto"/>
      </w:divBdr>
      <w:divsChild>
        <w:div w:id="1530801090">
          <w:marLeft w:val="0"/>
          <w:marRight w:val="0"/>
          <w:marTop w:val="0"/>
          <w:marBottom w:val="0"/>
          <w:divBdr>
            <w:top w:val="none" w:sz="0" w:space="0" w:color="auto"/>
            <w:left w:val="none" w:sz="0" w:space="0" w:color="auto"/>
            <w:bottom w:val="none" w:sz="0" w:space="0" w:color="auto"/>
            <w:right w:val="none" w:sz="0" w:space="0" w:color="auto"/>
          </w:divBdr>
          <w:divsChild>
            <w:div w:id="1596401689">
              <w:marLeft w:val="0"/>
              <w:marRight w:val="0"/>
              <w:marTop w:val="0"/>
              <w:marBottom w:val="0"/>
              <w:divBdr>
                <w:top w:val="none" w:sz="0" w:space="0" w:color="auto"/>
                <w:left w:val="none" w:sz="0" w:space="0" w:color="auto"/>
                <w:bottom w:val="none" w:sz="0" w:space="0" w:color="auto"/>
                <w:right w:val="none" w:sz="0" w:space="0" w:color="auto"/>
              </w:divBdr>
              <w:divsChild>
                <w:div w:id="888569397">
                  <w:marLeft w:val="0"/>
                  <w:marRight w:val="0"/>
                  <w:marTop w:val="0"/>
                  <w:marBottom w:val="0"/>
                  <w:divBdr>
                    <w:top w:val="none" w:sz="0" w:space="0" w:color="auto"/>
                    <w:left w:val="none" w:sz="0" w:space="0" w:color="auto"/>
                    <w:bottom w:val="none" w:sz="0" w:space="0" w:color="auto"/>
                    <w:right w:val="none" w:sz="0" w:space="0" w:color="auto"/>
                  </w:divBdr>
                  <w:divsChild>
                    <w:div w:id="21260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8680">
      <w:bodyDiv w:val="1"/>
      <w:marLeft w:val="0"/>
      <w:marRight w:val="0"/>
      <w:marTop w:val="0"/>
      <w:marBottom w:val="0"/>
      <w:divBdr>
        <w:top w:val="none" w:sz="0" w:space="0" w:color="auto"/>
        <w:left w:val="none" w:sz="0" w:space="0" w:color="auto"/>
        <w:bottom w:val="none" w:sz="0" w:space="0" w:color="auto"/>
        <w:right w:val="none" w:sz="0" w:space="0" w:color="auto"/>
      </w:divBdr>
    </w:div>
    <w:div w:id="1465582855">
      <w:bodyDiv w:val="1"/>
      <w:marLeft w:val="0"/>
      <w:marRight w:val="0"/>
      <w:marTop w:val="0"/>
      <w:marBottom w:val="0"/>
      <w:divBdr>
        <w:top w:val="none" w:sz="0" w:space="0" w:color="auto"/>
        <w:left w:val="none" w:sz="0" w:space="0" w:color="auto"/>
        <w:bottom w:val="none" w:sz="0" w:space="0" w:color="auto"/>
        <w:right w:val="none" w:sz="0" w:space="0" w:color="auto"/>
      </w:divBdr>
      <w:divsChild>
        <w:div w:id="354885526">
          <w:marLeft w:val="0"/>
          <w:marRight w:val="0"/>
          <w:marTop w:val="0"/>
          <w:marBottom w:val="0"/>
          <w:divBdr>
            <w:top w:val="none" w:sz="0" w:space="0" w:color="auto"/>
            <w:left w:val="none" w:sz="0" w:space="0" w:color="auto"/>
            <w:bottom w:val="none" w:sz="0" w:space="0" w:color="auto"/>
            <w:right w:val="none" w:sz="0" w:space="0" w:color="auto"/>
          </w:divBdr>
          <w:divsChild>
            <w:div w:id="1813597463">
              <w:marLeft w:val="0"/>
              <w:marRight w:val="0"/>
              <w:marTop w:val="0"/>
              <w:marBottom w:val="0"/>
              <w:divBdr>
                <w:top w:val="none" w:sz="0" w:space="0" w:color="auto"/>
                <w:left w:val="none" w:sz="0" w:space="0" w:color="auto"/>
                <w:bottom w:val="none" w:sz="0" w:space="0" w:color="auto"/>
                <w:right w:val="none" w:sz="0" w:space="0" w:color="auto"/>
              </w:divBdr>
              <w:divsChild>
                <w:div w:id="917397323">
                  <w:marLeft w:val="0"/>
                  <w:marRight w:val="0"/>
                  <w:marTop w:val="0"/>
                  <w:marBottom w:val="0"/>
                  <w:divBdr>
                    <w:top w:val="none" w:sz="0" w:space="0" w:color="auto"/>
                    <w:left w:val="none" w:sz="0" w:space="0" w:color="auto"/>
                    <w:bottom w:val="none" w:sz="0" w:space="0" w:color="auto"/>
                    <w:right w:val="none" w:sz="0" w:space="0" w:color="auto"/>
                  </w:divBdr>
                  <w:divsChild>
                    <w:div w:id="2051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94249">
      <w:bodyDiv w:val="1"/>
      <w:marLeft w:val="0"/>
      <w:marRight w:val="0"/>
      <w:marTop w:val="0"/>
      <w:marBottom w:val="0"/>
      <w:divBdr>
        <w:top w:val="none" w:sz="0" w:space="0" w:color="auto"/>
        <w:left w:val="none" w:sz="0" w:space="0" w:color="auto"/>
        <w:bottom w:val="none" w:sz="0" w:space="0" w:color="auto"/>
        <w:right w:val="none" w:sz="0" w:space="0" w:color="auto"/>
      </w:divBdr>
      <w:divsChild>
        <w:div w:id="102772892">
          <w:marLeft w:val="0"/>
          <w:marRight w:val="0"/>
          <w:marTop w:val="0"/>
          <w:marBottom w:val="0"/>
          <w:divBdr>
            <w:top w:val="none" w:sz="0" w:space="0" w:color="auto"/>
            <w:left w:val="none" w:sz="0" w:space="0" w:color="auto"/>
            <w:bottom w:val="none" w:sz="0" w:space="0" w:color="auto"/>
            <w:right w:val="none" w:sz="0" w:space="0" w:color="auto"/>
          </w:divBdr>
          <w:divsChild>
            <w:div w:id="899941743">
              <w:marLeft w:val="0"/>
              <w:marRight w:val="0"/>
              <w:marTop w:val="0"/>
              <w:marBottom w:val="0"/>
              <w:divBdr>
                <w:top w:val="none" w:sz="0" w:space="0" w:color="auto"/>
                <w:left w:val="none" w:sz="0" w:space="0" w:color="auto"/>
                <w:bottom w:val="none" w:sz="0" w:space="0" w:color="auto"/>
                <w:right w:val="none" w:sz="0" w:space="0" w:color="auto"/>
              </w:divBdr>
              <w:divsChild>
                <w:div w:id="127628774">
                  <w:marLeft w:val="0"/>
                  <w:marRight w:val="0"/>
                  <w:marTop w:val="0"/>
                  <w:marBottom w:val="0"/>
                  <w:divBdr>
                    <w:top w:val="none" w:sz="0" w:space="0" w:color="auto"/>
                    <w:left w:val="none" w:sz="0" w:space="0" w:color="auto"/>
                    <w:bottom w:val="none" w:sz="0" w:space="0" w:color="auto"/>
                    <w:right w:val="none" w:sz="0" w:space="0" w:color="auto"/>
                  </w:divBdr>
                  <w:divsChild>
                    <w:div w:id="19396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93810">
      <w:bodyDiv w:val="1"/>
      <w:marLeft w:val="0"/>
      <w:marRight w:val="0"/>
      <w:marTop w:val="0"/>
      <w:marBottom w:val="0"/>
      <w:divBdr>
        <w:top w:val="none" w:sz="0" w:space="0" w:color="auto"/>
        <w:left w:val="none" w:sz="0" w:space="0" w:color="auto"/>
        <w:bottom w:val="none" w:sz="0" w:space="0" w:color="auto"/>
        <w:right w:val="none" w:sz="0" w:space="0" w:color="auto"/>
      </w:divBdr>
      <w:divsChild>
        <w:div w:id="171452324">
          <w:marLeft w:val="0"/>
          <w:marRight w:val="0"/>
          <w:marTop w:val="0"/>
          <w:marBottom w:val="0"/>
          <w:divBdr>
            <w:top w:val="none" w:sz="0" w:space="0" w:color="auto"/>
            <w:left w:val="none" w:sz="0" w:space="0" w:color="auto"/>
            <w:bottom w:val="none" w:sz="0" w:space="0" w:color="auto"/>
            <w:right w:val="none" w:sz="0" w:space="0" w:color="auto"/>
          </w:divBdr>
          <w:divsChild>
            <w:div w:id="1798715616">
              <w:marLeft w:val="0"/>
              <w:marRight w:val="0"/>
              <w:marTop w:val="0"/>
              <w:marBottom w:val="0"/>
              <w:divBdr>
                <w:top w:val="none" w:sz="0" w:space="0" w:color="auto"/>
                <w:left w:val="none" w:sz="0" w:space="0" w:color="auto"/>
                <w:bottom w:val="none" w:sz="0" w:space="0" w:color="auto"/>
                <w:right w:val="none" w:sz="0" w:space="0" w:color="auto"/>
              </w:divBdr>
              <w:divsChild>
                <w:div w:id="331875398">
                  <w:marLeft w:val="0"/>
                  <w:marRight w:val="0"/>
                  <w:marTop w:val="0"/>
                  <w:marBottom w:val="0"/>
                  <w:divBdr>
                    <w:top w:val="none" w:sz="0" w:space="0" w:color="auto"/>
                    <w:left w:val="none" w:sz="0" w:space="0" w:color="auto"/>
                    <w:bottom w:val="none" w:sz="0" w:space="0" w:color="auto"/>
                    <w:right w:val="none" w:sz="0" w:space="0" w:color="auto"/>
                  </w:divBdr>
                  <w:divsChild>
                    <w:div w:id="8865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632951">
      <w:bodyDiv w:val="1"/>
      <w:marLeft w:val="0"/>
      <w:marRight w:val="0"/>
      <w:marTop w:val="0"/>
      <w:marBottom w:val="0"/>
      <w:divBdr>
        <w:top w:val="none" w:sz="0" w:space="0" w:color="auto"/>
        <w:left w:val="none" w:sz="0" w:space="0" w:color="auto"/>
        <w:bottom w:val="none" w:sz="0" w:space="0" w:color="auto"/>
        <w:right w:val="none" w:sz="0" w:space="0" w:color="auto"/>
      </w:divBdr>
      <w:divsChild>
        <w:div w:id="1774086100">
          <w:marLeft w:val="0"/>
          <w:marRight w:val="0"/>
          <w:marTop w:val="0"/>
          <w:marBottom w:val="0"/>
          <w:divBdr>
            <w:top w:val="none" w:sz="0" w:space="0" w:color="auto"/>
            <w:left w:val="none" w:sz="0" w:space="0" w:color="auto"/>
            <w:bottom w:val="none" w:sz="0" w:space="0" w:color="auto"/>
            <w:right w:val="none" w:sz="0" w:space="0" w:color="auto"/>
          </w:divBdr>
          <w:divsChild>
            <w:div w:id="887492091">
              <w:marLeft w:val="0"/>
              <w:marRight w:val="0"/>
              <w:marTop w:val="0"/>
              <w:marBottom w:val="0"/>
              <w:divBdr>
                <w:top w:val="none" w:sz="0" w:space="0" w:color="auto"/>
                <w:left w:val="none" w:sz="0" w:space="0" w:color="auto"/>
                <w:bottom w:val="none" w:sz="0" w:space="0" w:color="auto"/>
                <w:right w:val="none" w:sz="0" w:space="0" w:color="auto"/>
              </w:divBdr>
              <w:divsChild>
                <w:div w:id="1844196103">
                  <w:marLeft w:val="0"/>
                  <w:marRight w:val="0"/>
                  <w:marTop w:val="0"/>
                  <w:marBottom w:val="0"/>
                  <w:divBdr>
                    <w:top w:val="none" w:sz="0" w:space="0" w:color="auto"/>
                    <w:left w:val="none" w:sz="0" w:space="0" w:color="auto"/>
                    <w:bottom w:val="none" w:sz="0" w:space="0" w:color="auto"/>
                    <w:right w:val="none" w:sz="0" w:space="0" w:color="auto"/>
                  </w:divBdr>
                  <w:divsChild>
                    <w:div w:id="19359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134526">
      <w:bodyDiv w:val="1"/>
      <w:marLeft w:val="0"/>
      <w:marRight w:val="0"/>
      <w:marTop w:val="0"/>
      <w:marBottom w:val="0"/>
      <w:divBdr>
        <w:top w:val="none" w:sz="0" w:space="0" w:color="auto"/>
        <w:left w:val="none" w:sz="0" w:space="0" w:color="auto"/>
        <w:bottom w:val="none" w:sz="0" w:space="0" w:color="auto"/>
        <w:right w:val="none" w:sz="0" w:space="0" w:color="auto"/>
      </w:divBdr>
      <w:divsChild>
        <w:div w:id="105541385">
          <w:marLeft w:val="0"/>
          <w:marRight w:val="0"/>
          <w:marTop w:val="0"/>
          <w:marBottom w:val="0"/>
          <w:divBdr>
            <w:top w:val="none" w:sz="0" w:space="0" w:color="auto"/>
            <w:left w:val="none" w:sz="0" w:space="0" w:color="auto"/>
            <w:bottom w:val="none" w:sz="0" w:space="0" w:color="auto"/>
            <w:right w:val="none" w:sz="0" w:space="0" w:color="auto"/>
          </w:divBdr>
          <w:divsChild>
            <w:div w:id="1910578512">
              <w:marLeft w:val="0"/>
              <w:marRight w:val="0"/>
              <w:marTop w:val="0"/>
              <w:marBottom w:val="0"/>
              <w:divBdr>
                <w:top w:val="none" w:sz="0" w:space="0" w:color="auto"/>
                <w:left w:val="none" w:sz="0" w:space="0" w:color="auto"/>
                <w:bottom w:val="none" w:sz="0" w:space="0" w:color="auto"/>
                <w:right w:val="none" w:sz="0" w:space="0" w:color="auto"/>
              </w:divBdr>
              <w:divsChild>
                <w:div w:id="1125151651">
                  <w:marLeft w:val="0"/>
                  <w:marRight w:val="0"/>
                  <w:marTop w:val="0"/>
                  <w:marBottom w:val="0"/>
                  <w:divBdr>
                    <w:top w:val="none" w:sz="0" w:space="0" w:color="auto"/>
                    <w:left w:val="none" w:sz="0" w:space="0" w:color="auto"/>
                    <w:bottom w:val="none" w:sz="0" w:space="0" w:color="auto"/>
                    <w:right w:val="none" w:sz="0" w:space="0" w:color="auto"/>
                  </w:divBdr>
                  <w:divsChild>
                    <w:div w:id="2000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38381">
      <w:bodyDiv w:val="1"/>
      <w:marLeft w:val="0"/>
      <w:marRight w:val="0"/>
      <w:marTop w:val="0"/>
      <w:marBottom w:val="0"/>
      <w:divBdr>
        <w:top w:val="none" w:sz="0" w:space="0" w:color="auto"/>
        <w:left w:val="none" w:sz="0" w:space="0" w:color="auto"/>
        <w:bottom w:val="none" w:sz="0" w:space="0" w:color="auto"/>
        <w:right w:val="none" w:sz="0" w:space="0" w:color="auto"/>
      </w:divBdr>
    </w:div>
    <w:div w:id="1875192194">
      <w:bodyDiv w:val="1"/>
      <w:marLeft w:val="0"/>
      <w:marRight w:val="0"/>
      <w:marTop w:val="0"/>
      <w:marBottom w:val="0"/>
      <w:divBdr>
        <w:top w:val="none" w:sz="0" w:space="0" w:color="auto"/>
        <w:left w:val="none" w:sz="0" w:space="0" w:color="auto"/>
        <w:bottom w:val="none" w:sz="0" w:space="0" w:color="auto"/>
        <w:right w:val="none" w:sz="0" w:space="0" w:color="auto"/>
      </w:divBdr>
      <w:divsChild>
        <w:div w:id="506749298">
          <w:marLeft w:val="0"/>
          <w:marRight w:val="0"/>
          <w:marTop w:val="0"/>
          <w:marBottom w:val="0"/>
          <w:divBdr>
            <w:top w:val="none" w:sz="0" w:space="0" w:color="auto"/>
            <w:left w:val="none" w:sz="0" w:space="0" w:color="auto"/>
            <w:bottom w:val="none" w:sz="0" w:space="0" w:color="auto"/>
            <w:right w:val="none" w:sz="0" w:space="0" w:color="auto"/>
          </w:divBdr>
          <w:divsChild>
            <w:div w:id="680200737">
              <w:marLeft w:val="0"/>
              <w:marRight w:val="0"/>
              <w:marTop w:val="0"/>
              <w:marBottom w:val="0"/>
              <w:divBdr>
                <w:top w:val="none" w:sz="0" w:space="0" w:color="auto"/>
                <w:left w:val="none" w:sz="0" w:space="0" w:color="auto"/>
                <w:bottom w:val="none" w:sz="0" w:space="0" w:color="auto"/>
                <w:right w:val="none" w:sz="0" w:space="0" w:color="auto"/>
              </w:divBdr>
              <w:divsChild>
                <w:div w:id="456724395">
                  <w:marLeft w:val="0"/>
                  <w:marRight w:val="0"/>
                  <w:marTop w:val="0"/>
                  <w:marBottom w:val="0"/>
                  <w:divBdr>
                    <w:top w:val="none" w:sz="0" w:space="0" w:color="auto"/>
                    <w:left w:val="none" w:sz="0" w:space="0" w:color="auto"/>
                    <w:bottom w:val="none" w:sz="0" w:space="0" w:color="auto"/>
                    <w:right w:val="none" w:sz="0" w:space="0" w:color="auto"/>
                  </w:divBdr>
                  <w:divsChild>
                    <w:div w:id="15499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64476">
      <w:bodyDiv w:val="1"/>
      <w:marLeft w:val="0"/>
      <w:marRight w:val="0"/>
      <w:marTop w:val="0"/>
      <w:marBottom w:val="0"/>
      <w:divBdr>
        <w:top w:val="none" w:sz="0" w:space="0" w:color="auto"/>
        <w:left w:val="none" w:sz="0" w:space="0" w:color="auto"/>
        <w:bottom w:val="none" w:sz="0" w:space="0" w:color="auto"/>
        <w:right w:val="none" w:sz="0" w:space="0" w:color="auto"/>
      </w:divBdr>
      <w:divsChild>
        <w:div w:id="2032299756">
          <w:marLeft w:val="0"/>
          <w:marRight w:val="0"/>
          <w:marTop w:val="0"/>
          <w:marBottom w:val="0"/>
          <w:divBdr>
            <w:top w:val="none" w:sz="0" w:space="0" w:color="auto"/>
            <w:left w:val="none" w:sz="0" w:space="0" w:color="auto"/>
            <w:bottom w:val="none" w:sz="0" w:space="0" w:color="auto"/>
            <w:right w:val="none" w:sz="0" w:space="0" w:color="auto"/>
          </w:divBdr>
          <w:divsChild>
            <w:div w:id="998537828">
              <w:marLeft w:val="0"/>
              <w:marRight w:val="0"/>
              <w:marTop w:val="0"/>
              <w:marBottom w:val="0"/>
              <w:divBdr>
                <w:top w:val="none" w:sz="0" w:space="0" w:color="auto"/>
                <w:left w:val="none" w:sz="0" w:space="0" w:color="auto"/>
                <w:bottom w:val="none" w:sz="0" w:space="0" w:color="auto"/>
                <w:right w:val="none" w:sz="0" w:space="0" w:color="auto"/>
              </w:divBdr>
              <w:divsChild>
                <w:div w:id="836070319">
                  <w:marLeft w:val="0"/>
                  <w:marRight w:val="0"/>
                  <w:marTop w:val="0"/>
                  <w:marBottom w:val="0"/>
                  <w:divBdr>
                    <w:top w:val="none" w:sz="0" w:space="0" w:color="auto"/>
                    <w:left w:val="none" w:sz="0" w:space="0" w:color="auto"/>
                    <w:bottom w:val="none" w:sz="0" w:space="0" w:color="auto"/>
                    <w:right w:val="none" w:sz="0" w:space="0" w:color="auto"/>
                  </w:divBdr>
                  <w:divsChild>
                    <w:div w:id="5099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04136">
      <w:bodyDiv w:val="1"/>
      <w:marLeft w:val="0"/>
      <w:marRight w:val="0"/>
      <w:marTop w:val="0"/>
      <w:marBottom w:val="0"/>
      <w:divBdr>
        <w:top w:val="none" w:sz="0" w:space="0" w:color="auto"/>
        <w:left w:val="none" w:sz="0" w:space="0" w:color="auto"/>
        <w:bottom w:val="none" w:sz="0" w:space="0" w:color="auto"/>
        <w:right w:val="none" w:sz="0" w:space="0" w:color="auto"/>
      </w:divBdr>
    </w:div>
    <w:div w:id="209466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hyperlink" Target="javascript:Vincular(136096)" TargetMode="External"/><Relationship Id="rId10" Type="http://schemas.openxmlformats.org/officeDocument/2006/relationships/hyperlink" Target="javascript:Vincular(136095)"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435F1-2BD4-2940-B1B0-0A5DEF7A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1986</Words>
  <Characters>10927</Characters>
  <Application>Microsoft Office Word</Application>
  <DocSecurity>4</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Urdiales Abad</dc:creator>
  <cp:keywords/>
  <dc:description/>
  <cp:lastModifiedBy>Jaime Salazar</cp:lastModifiedBy>
  <cp:revision>2</cp:revision>
  <dcterms:created xsi:type="dcterms:W3CDTF">2022-02-24T23:01:00Z</dcterms:created>
  <dcterms:modified xsi:type="dcterms:W3CDTF">2022-02-24T23:01:00Z</dcterms:modified>
</cp:coreProperties>
</file>