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E093" w14:textId="074FB4B4" w:rsidR="003216E4" w:rsidRPr="001A5684" w:rsidRDefault="000436B5" w:rsidP="00C742CF">
      <w:pPr>
        <w:spacing w:line="360" w:lineRule="auto"/>
        <w:jc w:val="center"/>
        <w:rPr>
          <w:rFonts w:ascii="Arial" w:hAnsi="Arial" w:cs="Arial"/>
          <w:color w:val="000000"/>
        </w:rPr>
      </w:pPr>
      <w:r w:rsidRPr="008D5CC1">
        <w:rPr>
          <w:rFonts w:ascii="Arial" w:hAnsi="Arial" w:cs="Arial"/>
          <w:b/>
          <w:bCs/>
          <w:lang w:val="es-ES"/>
        </w:rPr>
        <w:t xml:space="preserve">PROPUESTAS Y </w:t>
      </w:r>
      <w:r w:rsidR="00C742CF" w:rsidRPr="008D5CC1">
        <w:rPr>
          <w:rFonts w:ascii="Arial" w:hAnsi="Arial" w:cs="Arial"/>
          <w:b/>
          <w:bCs/>
          <w:lang w:val="es-ES"/>
        </w:rPr>
        <w:t>OBSERVACIONES AL</w:t>
      </w:r>
      <w:r w:rsidR="00E75F02" w:rsidRPr="008D5CC1">
        <w:rPr>
          <w:rFonts w:ascii="Arial" w:hAnsi="Arial" w:cs="Arial"/>
          <w:b/>
          <w:bCs/>
          <w:lang w:val="es-ES"/>
        </w:rPr>
        <w:t xml:space="preserve"> PROYECTO </w:t>
      </w:r>
      <w:r w:rsidR="00527787" w:rsidRPr="008D5CC1">
        <w:rPr>
          <w:rFonts w:ascii="Arial" w:hAnsi="Arial" w:cs="Arial"/>
          <w:b/>
          <w:bCs/>
          <w:color w:val="000000"/>
          <w:lang w:val="es-ES"/>
        </w:rPr>
        <w:t>DE LEY DE REFORMA A LA LEY QUE ESTABLECE RENTAS EN FAVOR DE LAS PROVINCIAS DE AZUAY, CAÑAR, MORONA SANTIAGO Y TUNGURAHUA POR VENTA DE ENERGÍA ELÉCTRICA</w:t>
      </w:r>
      <w:r w:rsidR="00AD0C40" w:rsidRPr="008D5CC1">
        <w:rPr>
          <w:rFonts w:ascii="Arial" w:hAnsi="Arial" w:cs="Arial"/>
          <w:b/>
          <w:bCs/>
          <w:color w:val="000000"/>
          <w:lang w:val="es-ES"/>
        </w:rPr>
        <w:t xml:space="preserve">, DECRETO </w:t>
      </w:r>
      <w:r w:rsidR="00212FCD" w:rsidRPr="008D5CC1">
        <w:rPr>
          <w:rFonts w:ascii="Arial" w:hAnsi="Arial" w:cs="Arial"/>
          <w:b/>
          <w:bCs/>
          <w:color w:val="000000"/>
          <w:lang w:val="es-ES"/>
        </w:rPr>
        <w:t>LEY No. 47</w:t>
      </w:r>
      <w:r w:rsidR="00C742CF">
        <w:rPr>
          <w:rFonts w:ascii="Arial" w:hAnsi="Arial" w:cs="Arial"/>
          <w:b/>
          <w:bCs/>
          <w:color w:val="000000"/>
          <w:lang w:val="es-ES"/>
        </w:rPr>
        <w:t>.</w:t>
      </w:r>
    </w:p>
    <w:p w14:paraId="7C76DC3A" w14:textId="77777777" w:rsidR="00D436FA" w:rsidRDefault="00D436FA" w:rsidP="00C742CF">
      <w:pPr>
        <w:spacing w:line="360" w:lineRule="auto"/>
        <w:rPr>
          <w:rFonts w:ascii="Arial" w:hAnsi="Arial" w:cs="Arial"/>
          <w:lang w:val="es-ES"/>
        </w:rPr>
      </w:pPr>
    </w:p>
    <w:p w14:paraId="5FA1C84A" w14:textId="77777777" w:rsidR="00D436FA" w:rsidRDefault="000436B5" w:rsidP="00D436FA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lang w:val="es-ES"/>
        </w:rPr>
      </w:pPr>
      <w:r w:rsidRPr="00D436FA">
        <w:rPr>
          <w:rFonts w:ascii="Arial" w:hAnsi="Arial" w:cs="Arial"/>
          <w:b/>
          <w:bCs/>
          <w:lang w:val="es-ES"/>
        </w:rPr>
        <w:t>ANTECEDE</w:t>
      </w:r>
      <w:r w:rsidR="00C77BA1" w:rsidRPr="00D436FA">
        <w:rPr>
          <w:rFonts w:ascii="Arial" w:hAnsi="Arial" w:cs="Arial"/>
          <w:b/>
          <w:bCs/>
          <w:lang w:val="es-ES"/>
        </w:rPr>
        <w:t>NTES</w:t>
      </w:r>
    </w:p>
    <w:p w14:paraId="42A99A88" w14:textId="77777777" w:rsidR="00D436FA" w:rsidRDefault="00D436FA" w:rsidP="00D436FA">
      <w:pPr>
        <w:pStyle w:val="Prrafodelista"/>
        <w:spacing w:line="360" w:lineRule="auto"/>
        <w:ind w:left="360"/>
        <w:rPr>
          <w:rFonts w:ascii="Arial" w:hAnsi="Arial" w:cs="Arial"/>
          <w:b/>
          <w:bCs/>
          <w:lang w:val="es-ES"/>
        </w:rPr>
      </w:pPr>
    </w:p>
    <w:p w14:paraId="3CF00B72" w14:textId="2D2B8BED" w:rsidR="00212FCD" w:rsidRPr="00986F0D" w:rsidRDefault="006E7443" w:rsidP="00D436F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D436FA">
        <w:rPr>
          <w:rFonts w:ascii="Arial" w:hAnsi="Arial" w:cs="Arial"/>
          <w:lang w:val="es-ES"/>
        </w:rPr>
        <w:t xml:space="preserve">La Comisión de Garantías </w:t>
      </w:r>
      <w:r w:rsidR="007A6AC7" w:rsidRPr="00D436FA">
        <w:rPr>
          <w:rFonts w:ascii="Arial" w:hAnsi="Arial" w:cs="Arial"/>
          <w:lang w:val="es-ES"/>
        </w:rPr>
        <w:t>Constitucionales, Derechos Humanos, Derechos Colectivos y Seguridad Integral, se encuentra elaborando el Informe para</w:t>
      </w:r>
      <w:r w:rsidR="004300F3" w:rsidRPr="00D436FA">
        <w:rPr>
          <w:rFonts w:ascii="Arial" w:hAnsi="Arial" w:cs="Arial"/>
          <w:lang w:val="es-ES"/>
        </w:rPr>
        <w:t xml:space="preserve"> Primer Debate </w:t>
      </w:r>
      <w:r w:rsidR="00212FCD" w:rsidRPr="00D436FA">
        <w:rPr>
          <w:rFonts w:ascii="Arial" w:hAnsi="Arial" w:cs="Arial"/>
          <w:lang w:val="es-ES"/>
        </w:rPr>
        <w:t xml:space="preserve">al Proyecto </w:t>
      </w:r>
      <w:r w:rsidR="00212FCD" w:rsidRPr="00D436FA">
        <w:rPr>
          <w:rFonts w:ascii="Arial" w:hAnsi="Arial" w:cs="Arial"/>
          <w:color w:val="000000"/>
          <w:lang w:val="es-ES"/>
        </w:rPr>
        <w:t xml:space="preserve">de Ley de Reforma a la Ley que Establece Rentas </w:t>
      </w:r>
      <w:r w:rsidR="003A076F" w:rsidRPr="00D436FA">
        <w:rPr>
          <w:rFonts w:ascii="Arial" w:hAnsi="Arial" w:cs="Arial"/>
          <w:color w:val="000000"/>
          <w:lang w:val="es-ES"/>
        </w:rPr>
        <w:t>e</w:t>
      </w:r>
      <w:r w:rsidR="00212FCD" w:rsidRPr="00D436FA">
        <w:rPr>
          <w:rFonts w:ascii="Arial" w:hAnsi="Arial" w:cs="Arial"/>
          <w:color w:val="000000"/>
          <w:lang w:val="es-ES"/>
        </w:rPr>
        <w:t xml:space="preserve">n </w:t>
      </w:r>
      <w:r w:rsidR="003A076F" w:rsidRPr="00D436FA">
        <w:rPr>
          <w:rFonts w:ascii="Arial" w:hAnsi="Arial" w:cs="Arial"/>
          <w:color w:val="000000"/>
          <w:lang w:val="es-ES"/>
        </w:rPr>
        <w:t>F</w:t>
      </w:r>
      <w:r w:rsidR="00212FCD" w:rsidRPr="00D436FA">
        <w:rPr>
          <w:rFonts w:ascii="Arial" w:hAnsi="Arial" w:cs="Arial"/>
          <w:color w:val="000000"/>
          <w:lang w:val="es-ES"/>
        </w:rPr>
        <w:t xml:space="preserve">avor </w:t>
      </w:r>
      <w:r w:rsidR="003A076F" w:rsidRPr="00D436FA">
        <w:rPr>
          <w:rFonts w:ascii="Arial" w:hAnsi="Arial" w:cs="Arial"/>
          <w:color w:val="000000"/>
          <w:lang w:val="es-ES"/>
        </w:rPr>
        <w:t>d</w:t>
      </w:r>
      <w:r w:rsidR="00212FCD" w:rsidRPr="00D436FA">
        <w:rPr>
          <w:rFonts w:ascii="Arial" w:hAnsi="Arial" w:cs="Arial"/>
          <w:color w:val="000000"/>
          <w:lang w:val="es-ES"/>
        </w:rPr>
        <w:t xml:space="preserve">e </w:t>
      </w:r>
      <w:r w:rsidR="003A076F" w:rsidRPr="00D436FA">
        <w:rPr>
          <w:rFonts w:ascii="Arial" w:hAnsi="Arial" w:cs="Arial"/>
          <w:color w:val="000000"/>
          <w:lang w:val="es-ES"/>
        </w:rPr>
        <w:t>l</w:t>
      </w:r>
      <w:r w:rsidR="00212FCD" w:rsidRPr="00D436FA">
        <w:rPr>
          <w:rFonts w:ascii="Arial" w:hAnsi="Arial" w:cs="Arial"/>
          <w:color w:val="000000"/>
          <w:lang w:val="es-ES"/>
        </w:rPr>
        <w:t xml:space="preserve">as </w:t>
      </w:r>
      <w:r w:rsidR="003A076F" w:rsidRPr="00D436FA">
        <w:rPr>
          <w:rFonts w:ascii="Arial" w:hAnsi="Arial" w:cs="Arial"/>
          <w:color w:val="000000"/>
          <w:lang w:val="es-ES"/>
        </w:rPr>
        <w:t>p</w:t>
      </w:r>
      <w:r w:rsidR="00212FCD" w:rsidRPr="00D436FA">
        <w:rPr>
          <w:rFonts w:ascii="Arial" w:hAnsi="Arial" w:cs="Arial"/>
          <w:color w:val="000000"/>
          <w:lang w:val="es-ES"/>
        </w:rPr>
        <w:t xml:space="preserve">rovincias </w:t>
      </w:r>
      <w:r w:rsidR="003A076F" w:rsidRPr="00D436FA">
        <w:rPr>
          <w:rFonts w:ascii="Arial" w:hAnsi="Arial" w:cs="Arial"/>
          <w:color w:val="000000"/>
          <w:lang w:val="es-ES"/>
        </w:rPr>
        <w:t>d</w:t>
      </w:r>
      <w:r w:rsidR="00212FCD" w:rsidRPr="00D436FA">
        <w:rPr>
          <w:rFonts w:ascii="Arial" w:hAnsi="Arial" w:cs="Arial"/>
          <w:color w:val="000000"/>
          <w:lang w:val="es-ES"/>
        </w:rPr>
        <w:t xml:space="preserve">e Azuay, Cañar, Morona Santiago </w:t>
      </w:r>
      <w:r w:rsidR="003A331E" w:rsidRPr="00D436FA">
        <w:rPr>
          <w:rFonts w:ascii="Arial" w:hAnsi="Arial" w:cs="Arial"/>
          <w:color w:val="000000"/>
          <w:lang w:val="es-ES"/>
        </w:rPr>
        <w:t>y</w:t>
      </w:r>
      <w:r w:rsidR="00212FCD" w:rsidRPr="00D436FA">
        <w:rPr>
          <w:rFonts w:ascii="Arial" w:hAnsi="Arial" w:cs="Arial"/>
          <w:color w:val="000000"/>
          <w:lang w:val="es-ES"/>
        </w:rPr>
        <w:t xml:space="preserve"> Tungurahua </w:t>
      </w:r>
      <w:r w:rsidR="003A331E" w:rsidRPr="00D436FA">
        <w:rPr>
          <w:rFonts w:ascii="Arial" w:hAnsi="Arial" w:cs="Arial"/>
          <w:color w:val="000000"/>
          <w:lang w:val="es-ES"/>
        </w:rPr>
        <w:t>p</w:t>
      </w:r>
      <w:r w:rsidR="00212FCD" w:rsidRPr="00D436FA">
        <w:rPr>
          <w:rFonts w:ascii="Arial" w:hAnsi="Arial" w:cs="Arial"/>
          <w:color w:val="000000"/>
          <w:lang w:val="es-ES"/>
        </w:rPr>
        <w:t xml:space="preserve">or Venta </w:t>
      </w:r>
      <w:r w:rsidR="003A331E" w:rsidRPr="00D436FA">
        <w:rPr>
          <w:rFonts w:ascii="Arial" w:hAnsi="Arial" w:cs="Arial"/>
          <w:color w:val="000000"/>
          <w:lang w:val="es-ES"/>
        </w:rPr>
        <w:t>d</w:t>
      </w:r>
      <w:r w:rsidR="00212FCD" w:rsidRPr="00D436FA">
        <w:rPr>
          <w:rFonts w:ascii="Arial" w:hAnsi="Arial" w:cs="Arial"/>
          <w:color w:val="000000"/>
          <w:lang w:val="es-ES"/>
        </w:rPr>
        <w:t xml:space="preserve">e Energía Eléctrica, </w:t>
      </w:r>
      <w:r w:rsidR="003A331E" w:rsidRPr="00D436FA">
        <w:rPr>
          <w:rFonts w:ascii="Arial" w:hAnsi="Arial" w:cs="Arial"/>
          <w:color w:val="000000"/>
          <w:lang w:val="es-ES"/>
        </w:rPr>
        <w:t>D</w:t>
      </w:r>
      <w:r w:rsidR="00212FCD" w:rsidRPr="00D436FA">
        <w:rPr>
          <w:rFonts w:ascii="Arial" w:hAnsi="Arial" w:cs="Arial"/>
          <w:color w:val="000000"/>
          <w:lang w:val="es-ES"/>
        </w:rPr>
        <w:t>ecreto Ley No. 47</w:t>
      </w:r>
      <w:r w:rsidR="00BC4B2E">
        <w:rPr>
          <w:rFonts w:ascii="Arial" w:hAnsi="Arial" w:cs="Arial"/>
          <w:color w:val="000000"/>
          <w:lang w:val="es-ES"/>
        </w:rPr>
        <w:t xml:space="preserve"> (en adelante el “Proyecto”)</w:t>
      </w:r>
      <w:r w:rsidR="003A331E" w:rsidRPr="00D436FA">
        <w:rPr>
          <w:rFonts w:ascii="Arial" w:hAnsi="Arial" w:cs="Arial"/>
          <w:color w:val="000000"/>
          <w:lang w:val="es-ES"/>
        </w:rPr>
        <w:t>.</w:t>
      </w:r>
    </w:p>
    <w:p w14:paraId="50D947B6" w14:textId="77777777" w:rsidR="00986F0D" w:rsidRPr="00D436FA" w:rsidRDefault="00986F0D" w:rsidP="00986F0D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bCs/>
          <w:lang w:val="es-ES"/>
        </w:rPr>
      </w:pPr>
    </w:p>
    <w:p w14:paraId="40313377" w14:textId="39AB993B" w:rsidR="00C77BA1" w:rsidRDefault="00C77BA1" w:rsidP="00986F0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986F0D">
        <w:rPr>
          <w:rFonts w:ascii="Arial" w:hAnsi="Arial" w:cs="Arial"/>
          <w:b/>
          <w:bCs/>
          <w:lang w:val="es-ES"/>
        </w:rPr>
        <w:t xml:space="preserve">PROPUESTAS Y OBSERVACIONES </w:t>
      </w:r>
    </w:p>
    <w:p w14:paraId="0722375E" w14:textId="77777777" w:rsidR="00986F0D" w:rsidRPr="00986F0D" w:rsidRDefault="00986F0D" w:rsidP="00986F0D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bCs/>
          <w:lang w:val="es-ES"/>
        </w:rPr>
      </w:pPr>
    </w:p>
    <w:p w14:paraId="47B10242" w14:textId="6B0D7098" w:rsidR="0040124B" w:rsidRPr="00986F0D" w:rsidRDefault="007B6EF4" w:rsidP="00986F0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86F0D">
        <w:rPr>
          <w:rFonts w:ascii="Arial" w:hAnsi="Arial" w:cs="Arial"/>
          <w:lang w:val="es-ES"/>
        </w:rPr>
        <w:t xml:space="preserve">El Decreto </w:t>
      </w:r>
      <w:r w:rsidR="00D803ED" w:rsidRPr="00986F0D">
        <w:rPr>
          <w:rFonts w:ascii="Arial" w:hAnsi="Arial" w:cs="Arial"/>
          <w:lang w:val="es-ES"/>
        </w:rPr>
        <w:t>Ley 47 data de 1989</w:t>
      </w:r>
      <w:r w:rsidRPr="00986F0D">
        <w:rPr>
          <w:rFonts w:ascii="Arial" w:hAnsi="Arial" w:cs="Arial"/>
          <w:lang w:val="es-ES"/>
        </w:rPr>
        <w:t xml:space="preserve">, siendo </w:t>
      </w:r>
      <w:r w:rsidR="00D803ED" w:rsidRPr="00986F0D">
        <w:rPr>
          <w:rFonts w:ascii="Arial" w:hAnsi="Arial" w:cs="Arial"/>
          <w:lang w:val="es-ES"/>
        </w:rPr>
        <w:t xml:space="preserve">su última reforma en el 2002. Es una norma que debe estar en la esfera </w:t>
      </w:r>
      <w:r w:rsidR="0077771F">
        <w:rPr>
          <w:rFonts w:ascii="Arial" w:hAnsi="Arial" w:cs="Arial"/>
          <w:lang w:val="es-ES"/>
        </w:rPr>
        <w:t>c</w:t>
      </w:r>
      <w:r w:rsidR="00D803ED" w:rsidRPr="00986F0D">
        <w:rPr>
          <w:rFonts w:ascii="Arial" w:hAnsi="Arial" w:cs="Arial"/>
          <w:lang w:val="es-ES"/>
        </w:rPr>
        <w:t>onstitucional (principios material y formal de la normas)</w:t>
      </w:r>
      <w:r w:rsidR="006813F7" w:rsidRPr="00986F0D">
        <w:rPr>
          <w:rFonts w:ascii="Arial" w:hAnsi="Arial" w:cs="Arial"/>
          <w:lang w:val="es-ES"/>
        </w:rPr>
        <w:t>.</w:t>
      </w:r>
      <w:r w:rsidR="0077771F">
        <w:rPr>
          <w:rFonts w:ascii="Arial" w:hAnsi="Arial" w:cs="Arial"/>
          <w:lang w:val="es-ES"/>
        </w:rPr>
        <w:t xml:space="preserve"> </w:t>
      </w:r>
      <w:r w:rsidR="002241DA" w:rsidRPr="00986F0D">
        <w:rPr>
          <w:rFonts w:ascii="Arial" w:hAnsi="Arial" w:cs="Arial"/>
          <w:lang w:val="es-ES"/>
        </w:rPr>
        <w:t xml:space="preserve">En las razones para su </w:t>
      </w:r>
      <w:r w:rsidR="005B73C2" w:rsidRPr="00986F0D">
        <w:rPr>
          <w:rFonts w:ascii="Arial" w:hAnsi="Arial" w:cs="Arial"/>
          <w:lang w:val="es-ES"/>
        </w:rPr>
        <w:t xml:space="preserve">promulgación encontramos </w:t>
      </w:r>
      <w:r w:rsidR="00C25800" w:rsidRPr="00986F0D">
        <w:rPr>
          <w:rFonts w:ascii="Arial" w:hAnsi="Arial" w:cs="Arial"/>
          <w:color w:val="000000"/>
          <w:shd w:val="clear" w:color="auto" w:fill="FFFFFF"/>
        </w:rPr>
        <w:t>“</w:t>
      </w:r>
      <w:r w:rsidR="00C25800" w:rsidRPr="00986F0D">
        <w:rPr>
          <w:rFonts w:ascii="Arial" w:hAnsi="Arial" w:cs="Arial"/>
          <w:i/>
          <w:iCs/>
          <w:color w:val="000000"/>
          <w:shd w:val="clear" w:color="auto" w:fill="FFFFFF"/>
        </w:rPr>
        <w:t>la difícil situación económica - social en que se encuentran las provincias de Azuay, Cañar, Morona Santiago y Tungurahua, demanda una asignación especial de rentas públicas a sus organismos seccionales y de desarrollo, a fin de que estos puedan ejecutar las acciones tendientes a superarla”</w:t>
      </w:r>
      <w:r w:rsidR="0040124B" w:rsidRPr="00986F0D">
        <w:rPr>
          <w:rFonts w:ascii="Arial" w:hAnsi="Arial" w:cs="Arial"/>
          <w:i/>
          <w:iCs/>
          <w:color w:val="000000"/>
          <w:shd w:val="clear" w:color="auto" w:fill="FFFFFF"/>
        </w:rPr>
        <w:t>.</w:t>
      </w:r>
      <w:r w:rsidR="0040124B" w:rsidRPr="00986F0D">
        <w:rPr>
          <w:rFonts w:ascii="Arial" w:hAnsi="Arial" w:cs="Arial"/>
          <w:color w:val="000000"/>
          <w:shd w:val="clear" w:color="auto" w:fill="FFFFFF"/>
        </w:rPr>
        <w:t xml:space="preserve"> Como vemos</w:t>
      </w:r>
      <w:r w:rsidR="0077771F">
        <w:rPr>
          <w:rFonts w:ascii="Arial" w:hAnsi="Arial" w:cs="Arial"/>
          <w:color w:val="000000"/>
          <w:shd w:val="clear" w:color="auto" w:fill="FFFFFF"/>
        </w:rPr>
        <w:t>,</w:t>
      </w:r>
      <w:r w:rsidR="0040124B" w:rsidRPr="00986F0D">
        <w:rPr>
          <w:rFonts w:ascii="Arial" w:hAnsi="Arial" w:cs="Arial"/>
          <w:color w:val="000000"/>
          <w:shd w:val="clear" w:color="auto" w:fill="FFFFFF"/>
        </w:rPr>
        <w:t xml:space="preserve"> esta asignación tendiente a superar la compleja situación económica </w:t>
      </w:r>
      <w:r w:rsidR="00800C3F" w:rsidRPr="00986F0D">
        <w:rPr>
          <w:rFonts w:ascii="Arial" w:hAnsi="Arial" w:cs="Arial"/>
          <w:color w:val="000000"/>
          <w:shd w:val="clear" w:color="auto" w:fill="FFFFFF"/>
        </w:rPr>
        <w:t>de las provincias mencionad</w:t>
      </w:r>
      <w:r w:rsidR="00CA6A31" w:rsidRPr="00986F0D">
        <w:rPr>
          <w:rFonts w:ascii="Arial" w:hAnsi="Arial" w:cs="Arial"/>
          <w:color w:val="000000"/>
          <w:shd w:val="clear" w:color="auto" w:fill="FFFFFF"/>
        </w:rPr>
        <w:t>a</w:t>
      </w:r>
      <w:r w:rsidR="00800C3F" w:rsidRPr="00986F0D">
        <w:rPr>
          <w:rFonts w:ascii="Arial" w:hAnsi="Arial" w:cs="Arial"/>
          <w:color w:val="000000"/>
          <w:shd w:val="clear" w:color="auto" w:fill="FFFFFF"/>
        </w:rPr>
        <w:t>s,</w:t>
      </w:r>
      <w:r w:rsidR="00CA6A31" w:rsidRPr="00986F0D">
        <w:rPr>
          <w:rFonts w:ascii="Arial" w:hAnsi="Arial" w:cs="Arial"/>
          <w:color w:val="000000"/>
          <w:shd w:val="clear" w:color="auto" w:fill="FFFFFF"/>
        </w:rPr>
        <w:t xml:space="preserve"> se mantuvo en el tiempo, por lo que </w:t>
      </w:r>
      <w:r w:rsidR="00800C3F" w:rsidRPr="00986F0D">
        <w:rPr>
          <w:rFonts w:ascii="Arial" w:hAnsi="Arial" w:cs="Arial"/>
          <w:color w:val="000000"/>
          <w:shd w:val="clear" w:color="auto" w:fill="FFFFFF"/>
        </w:rPr>
        <w:t>el constituyente</w:t>
      </w:r>
      <w:r w:rsidR="00264690" w:rsidRPr="00986F0D">
        <w:rPr>
          <w:rFonts w:ascii="Arial" w:hAnsi="Arial" w:cs="Arial"/>
          <w:color w:val="000000"/>
          <w:shd w:val="clear" w:color="auto" w:fill="FFFFFF"/>
        </w:rPr>
        <w:t xml:space="preserve"> de 2008 </w:t>
      </w:r>
      <w:r w:rsidR="002E5370" w:rsidRPr="00986F0D">
        <w:rPr>
          <w:rFonts w:ascii="Arial" w:hAnsi="Arial" w:cs="Arial"/>
          <w:color w:val="000000"/>
          <w:shd w:val="clear" w:color="auto" w:fill="FFFFFF"/>
        </w:rPr>
        <w:t>estableci</w:t>
      </w:r>
      <w:r w:rsidR="00B92A42" w:rsidRPr="00986F0D">
        <w:rPr>
          <w:rFonts w:ascii="Arial" w:hAnsi="Arial" w:cs="Arial"/>
          <w:color w:val="000000"/>
          <w:shd w:val="clear" w:color="auto" w:fill="FFFFFF"/>
        </w:rPr>
        <w:t>ó lo siguiente</w:t>
      </w:r>
      <w:r w:rsidR="00A1080B">
        <w:rPr>
          <w:rFonts w:ascii="Arial" w:hAnsi="Arial" w:cs="Arial"/>
          <w:color w:val="000000"/>
          <w:shd w:val="clear" w:color="auto" w:fill="FFFFFF"/>
        </w:rPr>
        <w:t xml:space="preserve"> en la carta magna</w:t>
      </w:r>
      <w:r w:rsidR="00B92A42" w:rsidRPr="00986F0D">
        <w:rPr>
          <w:rFonts w:ascii="Arial" w:hAnsi="Arial" w:cs="Arial"/>
          <w:color w:val="000000"/>
          <w:shd w:val="clear" w:color="auto" w:fill="FFFFFF"/>
        </w:rPr>
        <w:t>:</w:t>
      </w:r>
    </w:p>
    <w:p w14:paraId="2366E628" w14:textId="62D6C467" w:rsidR="00B92A42" w:rsidRDefault="00B92A42" w:rsidP="00D436FA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</w:pPr>
      <w:r w:rsidRPr="008D5CC1">
        <w:rPr>
          <w:rFonts w:ascii="Arial" w:hAnsi="Arial" w:cs="Arial"/>
          <w:color w:val="000000"/>
          <w:shd w:val="clear" w:color="auto" w:fill="FFFFFF"/>
          <w:lang w:val="es-ES"/>
        </w:rPr>
        <w:t>D</w:t>
      </w:r>
      <w:r w:rsidRPr="00B92A42">
        <w:rPr>
          <w:rFonts w:ascii="Arial" w:hAnsi="Arial" w:cs="Arial"/>
          <w:color w:val="000000"/>
          <w:shd w:val="clear" w:color="auto" w:fill="FFFFFF"/>
          <w:lang w:val="es-ES"/>
        </w:rPr>
        <w:t>isposición Vigesimoctava</w:t>
      </w:r>
      <w:r w:rsidRPr="008D5CC1">
        <w:rPr>
          <w:rFonts w:ascii="Arial" w:hAnsi="Arial" w:cs="Arial"/>
          <w:color w:val="000000"/>
          <w:shd w:val="clear" w:color="auto" w:fill="FFFFFF"/>
          <w:lang w:val="es-ES"/>
        </w:rPr>
        <w:t xml:space="preserve">.- </w:t>
      </w:r>
      <w:r w:rsidRPr="00B92A42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“La ley que regule la participación de los gobiernos autónomos descentralizados en las rentas por la explotación o industrialización de los recursos no renovables, no podrá disminuir las rentas establecidas por la Ley 010 del Fondo para el Ecodesarrollo Regional Amazónico y de Fortalecimiento de sus Organismos Seccionales, </w:t>
      </w:r>
      <w:r w:rsidRPr="00B92A42"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así como las establecidas en la ley de asignaciones del cinco por ciento de las rentas generadas por la venta de energía que realicen las Centrales Hidroeléctricas de Paute, Pisayambo y Agoyán (Ley 047) para beneficio de las provincias de Azuay, Cañar, Morona Santiago y Tungurahua”.</w:t>
      </w:r>
    </w:p>
    <w:p w14:paraId="64398293" w14:textId="77777777" w:rsidR="00C742CF" w:rsidRPr="008D5CC1" w:rsidRDefault="00C742CF" w:rsidP="00C742CF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</w:pPr>
    </w:p>
    <w:p w14:paraId="7234BF19" w14:textId="41324B2C" w:rsidR="00B92A42" w:rsidRPr="00A1080B" w:rsidRDefault="00B92A42" w:rsidP="00A1080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A1080B">
        <w:rPr>
          <w:rFonts w:ascii="Arial" w:hAnsi="Arial" w:cs="Arial"/>
          <w:color w:val="000000"/>
          <w:shd w:val="clear" w:color="auto" w:fill="FFFFFF"/>
          <w:lang w:val="es-ES"/>
        </w:rPr>
        <w:lastRenderedPageBreak/>
        <w:t>Es decir</w:t>
      </w:r>
      <w:r w:rsidR="00022557">
        <w:rPr>
          <w:rFonts w:ascii="Arial" w:hAnsi="Arial" w:cs="Arial"/>
          <w:color w:val="000000"/>
          <w:shd w:val="clear" w:color="auto" w:fill="FFFFFF"/>
          <w:lang w:val="es-ES"/>
        </w:rPr>
        <w:t>,</w:t>
      </w:r>
      <w:r w:rsidRPr="00A1080B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633F67" w:rsidRPr="00A1080B">
        <w:rPr>
          <w:rFonts w:ascii="Arial" w:hAnsi="Arial" w:cs="Arial"/>
          <w:color w:val="000000"/>
          <w:shd w:val="clear" w:color="auto" w:fill="FFFFFF"/>
          <w:lang w:val="es-ES"/>
        </w:rPr>
        <w:t>al ser una disposición transitoria, ordenaba que la Ley de la materi</w:t>
      </w:r>
      <w:r w:rsidR="00F534C8" w:rsidRPr="00A1080B">
        <w:rPr>
          <w:rFonts w:ascii="Arial" w:hAnsi="Arial" w:cs="Arial"/>
          <w:color w:val="000000"/>
          <w:shd w:val="clear" w:color="auto" w:fill="FFFFFF"/>
          <w:lang w:val="es-ES"/>
        </w:rPr>
        <w:t>a regule el Decreto Ley 047</w:t>
      </w:r>
      <w:r w:rsidR="009136A4" w:rsidRPr="00A1080B">
        <w:rPr>
          <w:rFonts w:ascii="Arial" w:hAnsi="Arial" w:cs="Arial"/>
          <w:color w:val="000000"/>
          <w:shd w:val="clear" w:color="auto" w:fill="FFFFFF"/>
          <w:lang w:val="es-ES"/>
        </w:rPr>
        <w:t xml:space="preserve">. El Código Orgánico </w:t>
      </w:r>
      <w:r w:rsidR="004C6EEB" w:rsidRPr="00A1080B">
        <w:rPr>
          <w:rFonts w:ascii="Arial" w:hAnsi="Arial" w:cs="Arial"/>
          <w:color w:val="000000"/>
          <w:shd w:val="clear" w:color="auto" w:fill="FFFFFF"/>
          <w:lang w:val="es-ES"/>
        </w:rPr>
        <w:t>de Organización Territorial (en adelante COOTAD) siguiendo la disposición de la Carta Fundamental en su a</w:t>
      </w:r>
      <w:r w:rsidR="00567430" w:rsidRPr="00A1080B">
        <w:rPr>
          <w:rFonts w:ascii="Arial" w:hAnsi="Arial" w:cs="Arial"/>
          <w:color w:val="000000"/>
          <w:shd w:val="clear" w:color="auto" w:fill="FFFFFF"/>
          <w:lang w:val="es-ES"/>
        </w:rPr>
        <w:t>rtículo 208 se dispone que:</w:t>
      </w:r>
    </w:p>
    <w:p w14:paraId="616B977E" w14:textId="2001F51D" w:rsidR="00B92A42" w:rsidRPr="008D5CC1" w:rsidRDefault="00567430" w:rsidP="00C742CF">
      <w:pPr>
        <w:spacing w:line="360" w:lineRule="auto"/>
        <w:ind w:left="708"/>
        <w:jc w:val="both"/>
        <w:rPr>
          <w:rFonts w:ascii="Arial" w:hAnsi="Arial" w:cs="Arial"/>
          <w:color w:val="000000"/>
          <w:lang w:val="es-ES"/>
        </w:rPr>
      </w:pP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“Art. 208.- Financiamiento.- Estas transferencias se financiarán con los recursos establecidos en las leyes sectoriales existentes o que se crearen, relacionadas con la generación, explotación o industrialización de recursos naturales no renovables.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br/>
      </w:r>
      <w:r w:rsidRPr="008D5CC1">
        <w:rPr>
          <w:rFonts w:ascii="Arial" w:hAnsi="Arial" w:cs="Arial"/>
          <w:color w:val="000000"/>
          <w:shd w:val="clear" w:color="auto" w:fill="FFFFFF"/>
          <w:lang w:val="es-ES"/>
        </w:rPr>
        <w:br/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Se mantienen vigentes la ley 010 del Fondo para el Ecodesarrollo Regional Amazónico y de Fortalecimiento de sus Organismos Seccionales (publicada en el Registro Oficial No. 30 del 21 de septiembre de 1992, codificada en el Registro Oficial No. 222 de 1 de diciembre de 2003 y su reforma publicada en el Registro Oficial Suplemento No. 245 de 4 de enero de 2008)  </w:t>
      </w:r>
      <w:r w:rsidRPr="008D5CC1"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y la ley 047 de Asignaciones para Provincias por Venta de Energía de INECEL (publicada en el Registro Oficial No. 281 de 22 de septiembre de 1989)”.</w:t>
      </w:r>
      <w:r w:rsidRPr="008D5CC1">
        <w:rPr>
          <w:rFonts w:ascii="Arial" w:hAnsi="Arial" w:cs="Arial"/>
          <w:color w:val="000000"/>
          <w:shd w:val="clear" w:color="auto" w:fill="FFFFFF"/>
          <w:lang w:val="es-ES"/>
        </w:rPr>
        <w:t xml:space="preserve"> Énfasis agregado.</w:t>
      </w:r>
      <w:r w:rsidRPr="008D5CC1">
        <w:rPr>
          <w:rFonts w:ascii="Arial" w:hAnsi="Arial" w:cs="Arial"/>
          <w:color w:val="000000"/>
          <w:lang w:val="es-ES"/>
        </w:rPr>
        <w:t xml:space="preserve"> </w:t>
      </w:r>
    </w:p>
    <w:p w14:paraId="4EBB751D" w14:textId="3CFDB68D" w:rsidR="0012269D" w:rsidRDefault="0012269D" w:rsidP="00547CA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547CA7">
        <w:rPr>
          <w:rFonts w:ascii="Arial" w:hAnsi="Arial" w:cs="Arial"/>
          <w:color w:val="000000"/>
          <w:shd w:val="clear" w:color="auto" w:fill="FFFFFF"/>
          <w:lang w:val="es-ES"/>
        </w:rPr>
        <w:t>Un principio del COOTAD es la búsqueda de un orden económico social y solidario, para que el reparto de competencias y distribución de los recursos públicos no produzca inequidades sociales. Bajo este principio</w:t>
      </w:r>
      <w:r w:rsidR="002A4ADA">
        <w:rPr>
          <w:rFonts w:ascii="Arial" w:hAnsi="Arial" w:cs="Arial"/>
          <w:color w:val="000000"/>
          <w:shd w:val="clear" w:color="auto" w:fill="FFFFFF"/>
          <w:lang w:val="es-ES"/>
        </w:rPr>
        <w:t>,</w:t>
      </w:r>
      <w:r w:rsidRPr="00547CA7">
        <w:rPr>
          <w:rFonts w:ascii="Arial" w:hAnsi="Arial" w:cs="Arial"/>
          <w:color w:val="000000"/>
          <w:shd w:val="clear" w:color="auto" w:fill="FFFFFF"/>
          <w:lang w:val="es-ES"/>
        </w:rPr>
        <w:t xml:space="preserve"> las normas secundarias y relativas a </w:t>
      </w:r>
      <w:r w:rsidR="00B35BB9">
        <w:rPr>
          <w:rFonts w:ascii="Arial" w:hAnsi="Arial" w:cs="Arial"/>
          <w:color w:val="000000"/>
          <w:shd w:val="clear" w:color="auto" w:fill="FFFFFF"/>
          <w:lang w:val="es-ES"/>
        </w:rPr>
        <w:t xml:space="preserve">los </w:t>
      </w:r>
      <w:r w:rsidRPr="00547CA7">
        <w:rPr>
          <w:rFonts w:ascii="Arial" w:hAnsi="Arial" w:cs="Arial"/>
          <w:color w:val="000000"/>
          <w:shd w:val="clear" w:color="auto" w:fill="FFFFFF"/>
          <w:lang w:val="es-ES"/>
        </w:rPr>
        <w:t xml:space="preserve">recursos deben guardar </w:t>
      </w:r>
      <w:r w:rsidR="00B35BB9">
        <w:rPr>
          <w:rFonts w:ascii="Arial" w:hAnsi="Arial" w:cs="Arial"/>
          <w:color w:val="000000"/>
          <w:shd w:val="clear" w:color="auto" w:fill="FFFFFF"/>
          <w:lang w:val="es-ES"/>
        </w:rPr>
        <w:t>í</w:t>
      </w:r>
      <w:r w:rsidRPr="00547CA7">
        <w:rPr>
          <w:rFonts w:ascii="Arial" w:hAnsi="Arial" w:cs="Arial"/>
          <w:color w:val="000000"/>
          <w:shd w:val="clear" w:color="auto" w:fill="FFFFFF"/>
          <w:lang w:val="es-ES"/>
        </w:rPr>
        <w:t>ntima concordancia.</w:t>
      </w:r>
    </w:p>
    <w:p w14:paraId="6C5124AC" w14:textId="77777777" w:rsidR="00BC4B2E" w:rsidRPr="00547CA7" w:rsidRDefault="00BC4B2E" w:rsidP="00BC4B2E">
      <w:pPr>
        <w:pStyle w:val="Prrafodelista"/>
        <w:spacing w:line="360" w:lineRule="auto"/>
        <w:ind w:left="360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75C467D7" w14:textId="735AEF20" w:rsidR="0012269D" w:rsidRPr="00BC4B2E" w:rsidRDefault="00B7403A" w:rsidP="00BC4B2E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BC4B2E">
        <w:rPr>
          <w:rFonts w:ascii="Arial" w:hAnsi="Arial" w:cs="Arial"/>
          <w:color w:val="000000"/>
          <w:shd w:val="clear" w:color="auto" w:fill="FFFFFF"/>
          <w:lang w:val="es-ES"/>
        </w:rPr>
        <w:t>E</w:t>
      </w:r>
      <w:r w:rsidR="00BC4B2E">
        <w:rPr>
          <w:rFonts w:ascii="Arial" w:hAnsi="Arial" w:cs="Arial"/>
          <w:color w:val="000000"/>
          <w:shd w:val="clear" w:color="auto" w:fill="FFFFFF"/>
          <w:lang w:val="es-ES"/>
        </w:rPr>
        <w:t>n ese orden, e</w:t>
      </w:r>
      <w:r w:rsidRPr="00BC4B2E">
        <w:rPr>
          <w:rFonts w:ascii="Arial" w:hAnsi="Arial" w:cs="Arial"/>
          <w:color w:val="000000"/>
          <w:shd w:val="clear" w:color="auto" w:fill="FFFFFF"/>
          <w:lang w:val="es-ES"/>
        </w:rPr>
        <w:t xml:space="preserve">l artículo </w:t>
      </w:r>
      <w:r w:rsidR="00BC4B2E">
        <w:rPr>
          <w:rFonts w:ascii="Arial" w:hAnsi="Arial" w:cs="Arial"/>
          <w:color w:val="000000"/>
          <w:shd w:val="clear" w:color="auto" w:fill="FFFFFF"/>
          <w:lang w:val="es-ES"/>
        </w:rPr>
        <w:t>1</w:t>
      </w:r>
      <w:r w:rsidR="00CD5C59" w:rsidRPr="00BC4B2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556761" w:rsidRPr="00BC4B2E">
        <w:rPr>
          <w:rFonts w:ascii="Arial" w:hAnsi="Arial" w:cs="Arial"/>
          <w:color w:val="000000"/>
          <w:shd w:val="clear" w:color="auto" w:fill="FFFFFF"/>
          <w:lang w:val="es-ES"/>
        </w:rPr>
        <w:t xml:space="preserve">de la unificación </w:t>
      </w:r>
      <w:r w:rsidR="00950699" w:rsidRPr="00BC4B2E">
        <w:rPr>
          <w:rFonts w:ascii="Arial" w:hAnsi="Arial" w:cs="Arial"/>
          <w:color w:val="000000"/>
          <w:shd w:val="clear" w:color="auto" w:fill="FFFFFF"/>
          <w:lang w:val="es-ES"/>
        </w:rPr>
        <w:t xml:space="preserve">del </w:t>
      </w:r>
      <w:r w:rsidR="00B65839" w:rsidRPr="00BC4B2E">
        <w:rPr>
          <w:rFonts w:ascii="Arial" w:hAnsi="Arial" w:cs="Arial"/>
          <w:color w:val="000000"/>
          <w:shd w:val="clear" w:color="auto" w:fill="FFFFFF"/>
          <w:lang w:val="es-ES"/>
        </w:rPr>
        <w:t>Proyecto establece que:</w:t>
      </w:r>
    </w:p>
    <w:p w14:paraId="7A52C1A3" w14:textId="6DF909E5" w:rsidR="00B65839" w:rsidRPr="001A5684" w:rsidRDefault="00B65839" w:rsidP="00C742CF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shd w:val="clear" w:color="auto" w:fill="FFFFFF"/>
          <w:lang w:val="es-ES" w:eastAsia="en-US"/>
        </w:rPr>
      </w:pPr>
      <w:r w:rsidRPr="001A5684">
        <w:rPr>
          <w:rFonts w:ascii="Arial" w:eastAsiaTheme="minorHAnsi" w:hAnsi="Arial" w:cs="Arial"/>
          <w:i/>
          <w:iCs/>
          <w:color w:val="000000"/>
          <w:sz w:val="22"/>
          <w:szCs w:val="22"/>
          <w:shd w:val="clear" w:color="auto" w:fill="FFFFFF"/>
          <w:lang w:val="es-ES" w:eastAsia="en-US"/>
        </w:rPr>
        <w:t>“Artículo 1.-  Se sustituye el artículo 1 de la Ley 047, por el siguiente texto:</w:t>
      </w:r>
    </w:p>
    <w:p w14:paraId="3D582A12" w14:textId="01DBBA96" w:rsidR="0012269D" w:rsidRPr="008D5CC1" w:rsidRDefault="00B65839" w:rsidP="00C742CF">
      <w:pPr>
        <w:spacing w:line="360" w:lineRule="auto"/>
        <w:ind w:left="708"/>
        <w:jc w:val="both"/>
        <w:rPr>
          <w:rFonts w:ascii="Arial" w:hAnsi="Arial" w:cs="Arial"/>
          <w:i/>
          <w:iCs/>
          <w:color w:val="000000"/>
          <w:shd w:val="clear" w:color="auto" w:fill="FFFFFF"/>
          <w:lang w:val="es-ES"/>
        </w:rPr>
      </w:pP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Art. 1.- A partir del año 1990, en el Presupuesto del Estado se establecerán en favor de las provincias de Azuay, Cañar, Morona Santiago y Tungurahua, asignaciones equivalentes al 5% de la facturación que por venta de energía a las Empresas Eléctricas efectúe la Corporación Nacional de Electricidad, CNEL EP o la entidad que haga sus veces, y que sea originaria de las Centrales Hidroeléctricas de Paute, Pisayambo y Agoyán”.</w:t>
      </w:r>
    </w:p>
    <w:p w14:paraId="19951D25" w14:textId="74FB5027" w:rsidR="00BD4285" w:rsidRPr="00472BEA" w:rsidRDefault="00BD4285" w:rsidP="00472BE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72BEA">
        <w:rPr>
          <w:rFonts w:ascii="Arial" w:hAnsi="Arial" w:cs="Arial"/>
          <w:color w:val="000000"/>
          <w:shd w:val="clear" w:color="auto" w:fill="FFFFFF"/>
          <w:lang w:val="es-ES"/>
        </w:rPr>
        <w:t>Como primer punto</w:t>
      </w:r>
      <w:r w:rsidR="00F61A91">
        <w:rPr>
          <w:rFonts w:ascii="Arial" w:hAnsi="Arial" w:cs="Arial"/>
          <w:color w:val="000000"/>
          <w:shd w:val="clear" w:color="auto" w:fill="FFFFFF"/>
          <w:lang w:val="es-ES"/>
        </w:rPr>
        <w:t>, se propone eliminar</w:t>
      </w:r>
      <w:r w:rsidRPr="00472BEA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6C0034">
        <w:rPr>
          <w:rFonts w:ascii="Arial" w:hAnsi="Arial" w:cs="Arial"/>
          <w:color w:val="000000"/>
          <w:shd w:val="clear" w:color="auto" w:fill="FFFFFF"/>
          <w:lang w:val="es-ES"/>
        </w:rPr>
        <w:t>la referencia a</w:t>
      </w:r>
      <w:r w:rsidRPr="00472BEA">
        <w:rPr>
          <w:rFonts w:ascii="Arial" w:hAnsi="Arial" w:cs="Arial"/>
          <w:color w:val="000000"/>
          <w:shd w:val="clear" w:color="auto" w:fill="FFFFFF"/>
          <w:lang w:val="es-ES"/>
        </w:rPr>
        <w:t>l año 1990</w:t>
      </w:r>
      <w:r w:rsidR="006C0034">
        <w:rPr>
          <w:rFonts w:ascii="Arial" w:hAnsi="Arial" w:cs="Arial"/>
          <w:color w:val="000000"/>
          <w:shd w:val="clear" w:color="auto" w:fill="FFFFFF"/>
          <w:lang w:val="es-ES"/>
        </w:rPr>
        <w:t>, en atención al principio de irretroactividad de la ley</w:t>
      </w:r>
      <w:r w:rsidR="00DA1191">
        <w:rPr>
          <w:rFonts w:ascii="Arial" w:hAnsi="Arial" w:cs="Arial"/>
          <w:color w:val="000000"/>
          <w:shd w:val="clear" w:color="auto" w:fill="FFFFFF"/>
          <w:lang w:val="es-ES"/>
        </w:rPr>
        <w:t>:</w:t>
      </w:r>
      <w:r w:rsidRPr="00472BEA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DA1191">
        <w:rPr>
          <w:rFonts w:ascii="Arial" w:hAnsi="Arial" w:cs="Arial"/>
          <w:color w:val="000000"/>
          <w:shd w:val="clear" w:color="auto" w:fill="FFFFFF"/>
          <w:lang w:val="es-ES"/>
        </w:rPr>
        <w:t>“</w:t>
      </w:r>
      <w:r w:rsidR="004E45BB" w:rsidRPr="004E45BB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La ley no dispone sino para lo venidero: no </w:t>
      </w:r>
      <w:r w:rsidR="004E45BB" w:rsidRPr="004E45BB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lastRenderedPageBreak/>
        <w:t>tiene efecto retroactivo</w:t>
      </w:r>
      <w:r w:rsidR="00DA1191">
        <w:rPr>
          <w:rFonts w:ascii="Arial" w:hAnsi="Arial" w:cs="Arial"/>
          <w:color w:val="000000"/>
          <w:shd w:val="clear" w:color="auto" w:fill="FFFFFF"/>
          <w:lang w:val="es-ES"/>
        </w:rPr>
        <w:t>”</w:t>
      </w:r>
      <w:r w:rsidR="004E45BB">
        <w:rPr>
          <w:rStyle w:val="Refdenotaalpie"/>
          <w:rFonts w:ascii="Arial" w:hAnsi="Arial" w:cs="Arial"/>
          <w:color w:val="000000"/>
          <w:shd w:val="clear" w:color="auto" w:fill="FFFFFF"/>
          <w:lang w:val="es-ES"/>
        </w:rPr>
        <w:footnoteReference w:id="1"/>
      </w:r>
      <w:r w:rsidRPr="00472BEA">
        <w:rPr>
          <w:rFonts w:ascii="Arial" w:hAnsi="Arial" w:cs="Arial"/>
          <w:color w:val="000000"/>
          <w:shd w:val="clear" w:color="auto" w:fill="FFFFFF"/>
          <w:lang w:val="es-ES"/>
        </w:rPr>
        <w:t>.</w:t>
      </w:r>
      <w:r w:rsidR="00C0183A" w:rsidRPr="00472BE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26C54">
        <w:rPr>
          <w:rFonts w:ascii="Arial" w:hAnsi="Arial" w:cs="Arial"/>
          <w:color w:val="000000"/>
          <w:shd w:val="clear" w:color="auto" w:fill="FFFFFF"/>
        </w:rPr>
        <w:t xml:space="preserve">La propuesta, ciertamente, es más formal, pero oportuna para </w:t>
      </w:r>
      <w:r w:rsidR="00B81054">
        <w:rPr>
          <w:rFonts w:ascii="Arial" w:hAnsi="Arial" w:cs="Arial"/>
          <w:color w:val="000000"/>
          <w:shd w:val="clear" w:color="auto" w:fill="FFFFFF"/>
        </w:rPr>
        <w:t>desarrollar un cuerpo normativo elaborado de forma adecuada.</w:t>
      </w:r>
    </w:p>
    <w:p w14:paraId="534E1E63" w14:textId="77777777" w:rsidR="00B81054" w:rsidRPr="00B81054" w:rsidRDefault="00B81054" w:rsidP="00B81054">
      <w:pPr>
        <w:pStyle w:val="Prrafodelista"/>
        <w:spacing w:line="36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290E13D" w14:textId="51266B63" w:rsidR="00D75FEC" w:rsidRPr="00A960AB" w:rsidRDefault="006E6215" w:rsidP="00202F0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En el a</w:t>
      </w:r>
      <w:r w:rsidR="00D75FEC" w:rsidRPr="00202F06">
        <w:rPr>
          <w:rFonts w:ascii="Arial" w:hAnsi="Arial" w:cs="Arial"/>
          <w:color w:val="000000"/>
          <w:shd w:val="clear" w:color="auto" w:fill="FFFFFF"/>
          <w:lang w:val="es-ES"/>
        </w:rPr>
        <w:t xml:space="preserve">rtículo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2</w:t>
      </w:r>
      <w:r w:rsidR="000D1369">
        <w:rPr>
          <w:rFonts w:ascii="Arial" w:hAnsi="Arial" w:cs="Arial"/>
          <w:color w:val="000000"/>
          <w:shd w:val="clear" w:color="auto" w:fill="FFFFFF"/>
          <w:lang w:val="es-ES"/>
        </w:rPr>
        <w:t xml:space="preserve"> del Decreto ley 047 dispone </w:t>
      </w:r>
      <w:r w:rsidR="00282E8E">
        <w:rPr>
          <w:rFonts w:ascii="Arial" w:hAnsi="Arial" w:cs="Arial"/>
          <w:color w:val="000000"/>
          <w:shd w:val="clear" w:color="auto" w:fill="FFFFFF"/>
          <w:lang w:val="es-ES"/>
        </w:rPr>
        <w:t>la asignación de</w:t>
      </w:r>
      <w:r w:rsidR="00A932D7">
        <w:rPr>
          <w:rFonts w:ascii="Arial" w:hAnsi="Arial" w:cs="Arial"/>
          <w:color w:val="000000"/>
          <w:shd w:val="clear" w:color="auto" w:fill="FFFFFF"/>
          <w:lang w:val="es-ES"/>
        </w:rPr>
        <w:t>l 5%</w:t>
      </w:r>
      <w:r w:rsidR="00282E8E">
        <w:rPr>
          <w:rFonts w:ascii="Arial" w:hAnsi="Arial" w:cs="Arial"/>
          <w:color w:val="000000"/>
          <w:shd w:val="clear" w:color="auto" w:fill="FFFFFF"/>
          <w:lang w:val="es-ES"/>
        </w:rPr>
        <w:t xml:space="preserve"> de las ventas de energía eléctrica</w:t>
      </w:r>
      <w:r w:rsidR="00A932D7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E95CC3">
        <w:rPr>
          <w:rFonts w:ascii="Arial" w:hAnsi="Arial" w:cs="Arial"/>
          <w:color w:val="000000"/>
          <w:shd w:val="clear" w:color="auto" w:fill="FFFFFF"/>
          <w:lang w:val="es-ES"/>
        </w:rPr>
        <w:t>que provenga</w:t>
      </w:r>
      <w:r w:rsidR="00E95CC3" w:rsidRPr="00E95CC3">
        <w:rPr>
          <w:rFonts w:ascii="Arial" w:hAnsi="Arial" w:cs="Arial"/>
          <w:color w:val="000000"/>
          <w:shd w:val="clear" w:color="auto" w:fill="FFFFFF"/>
          <w:lang w:val="es-ES"/>
        </w:rPr>
        <w:t xml:space="preserve"> de la </w:t>
      </w:r>
      <w:r w:rsidR="00E95CC3">
        <w:rPr>
          <w:rFonts w:ascii="Arial" w:hAnsi="Arial" w:cs="Arial"/>
          <w:color w:val="000000"/>
          <w:shd w:val="clear" w:color="auto" w:fill="FFFFFF"/>
          <w:lang w:val="es-ES"/>
        </w:rPr>
        <w:t>c</w:t>
      </w:r>
      <w:r w:rsidR="00E95CC3" w:rsidRPr="00E95CC3">
        <w:rPr>
          <w:rFonts w:ascii="Arial" w:hAnsi="Arial" w:cs="Arial"/>
          <w:color w:val="000000"/>
          <w:shd w:val="clear" w:color="auto" w:fill="FFFFFF"/>
          <w:lang w:val="es-ES"/>
        </w:rPr>
        <w:t xml:space="preserve">entral </w:t>
      </w:r>
      <w:r w:rsidR="00E95CC3">
        <w:rPr>
          <w:rFonts w:ascii="Arial" w:hAnsi="Arial" w:cs="Arial"/>
          <w:color w:val="000000"/>
          <w:shd w:val="clear" w:color="auto" w:fill="FFFFFF"/>
          <w:lang w:val="es-ES"/>
        </w:rPr>
        <w:t>h</w:t>
      </w:r>
      <w:r w:rsidR="00E95CC3" w:rsidRPr="00E95CC3">
        <w:rPr>
          <w:rFonts w:ascii="Arial" w:hAnsi="Arial" w:cs="Arial"/>
          <w:color w:val="000000"/>
          <w:shd w:val="clear" w:color="auto" w:fill="FFFFFF"/>
          <w:lang w:val="es-ES"/>
        </w:rPr>
        <w:t xml:space="preserve">idroeléctrica de Paute, </w:t>
      </w:r>
      <w:r w:rsidR="00A932D7">
        <w:rPr>
          <w:rFonts w:ascii="Arial" w:hAnsi="Arial" w:cs="Arial"/>
          <w:color w:val="000000"/>
          <w:shd w:val="clear" w:color="auto" w:fill="FFFFFF"/>
          <w:lang w:val="es-ES"/>
        </w:rPr>
        <w:t xml:space="preserve">a </w:t>
      </w:r>
      <w:r w:rsidR="00D75FEC" w:rsidRPr="00202F06">
        <w:rPr>
          <w:rFonts w:ascii="Arial" w:hAnsi="Arial" w:cs="Arial"/>
          <w:color w:val="000000"/>
          <w:shd w:val="clear" w:color="auto" w:fill="FFFFFF"/>
          <w:lang w:val="es-ES"/>
        </w:rPr>
        <w:t>los GAD de Azuay, Cañar y Morona Santiago.</w:t>
      </w:r>
    </w:p>
    <w:p w14:paraId="2E1684B3" w14:textId="77777777" w:rsidR="00A960AB" w:rsidRPr="00A960AB" w:rsidRDefault="00A960AB" w:rsidP="00A960AB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14:paraId="3DE6A8D2" w14:textId="5C2321B6" w:rsidR="00D75FEC" w:rsidRPr="00A960AB" w:rsidRDefault="00D75FEC" w:rsidP="00202F0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02F06">
        <w:rPr>
          <w:rFonts w:ascii="Arial" w:hAnsi="Arial" w:cs="Arial"/>
          <w:color w:val="000000"/>
          <w:shd w:val="clear" w:color="auto" w:fill="FFFFFF"/>
          <w:lang w:val="es-ES"/>
        </w:rPr>
        <w:t xml:space="preserve">La reforma del As. Lloret incorpora una distribución de este recurso en un 20% para los GAD </w:t>
      </w:r>
      <w:r w:rsidR="00C96F3D">
        <w:rPr>
          <w:rFonts w:ascii="Arial" w:hAnsi="Arial" w:cs="Arial"/>
          <w:color w:val="000000"/>
          <w:shd w:val="clear" w:color="auto" w:fill="FFFFFF"/>
          <w:lang w:val="es-ES"/>
        </w:rPr>
        <w:t>p</w:t>
      </w:r>
      <w:r w:rsidRPr="00202F06">
        <w:rPr>
          <w:rFonts w:ascii="Arial" w:hAnsi="Arial" w:cs="Arial"/>
          <w:color w:val="000000"/>
          <w:shd w:val="clear" w:color="auto" w:fill="FFFFFF"/>
          <w:lang w:val="es-ES"/>
        </w:rPr>
        <w:t xml:space="preserve">rovinciales de Azuay, Cañar y Morona Santiago, mientras que el As. Saquicela excluye a las provincias. En la unificación de los proyectos se toma en cuenta a las </w:t>
      </w:r>
      <w:r w:rsidR="00C96F3D">
        <w:rPr>
          <w:rFonts w:ascii="Arial" w:hAnsi="Arial" w:cs="Arial"/>
          <w:color w:val="000000"/>
          <w:shd w:val="clear" w:color="auto" w:fill="FFFFFF"/>
          <w:lang w:val="es-ES"/>
        </w:rPr>
        <w:t>p</w:t>
      </w:r>
      <w:r w:rsidRPr="00202F06">
        <w:rPr>
          <w:rFonts w:ascii="Arial" w:hAnsi="Arial" w:cs="Arial"/>
          <w:color w:val="000000"/>
          <w:shd w:val="clear" w:color="auto" w:fill="FFFFFF"/>
          <w:lang w:val="es-ES"/>
        </w:rPr>
        <w:t>rovincias en un 20%.</w:t>
      </w:r>
    </w:p>
    <w:p w14:paraId="5103DE1B" w14:textId="77777777" w:rsidR="00A960AB" w:rsidRPr="00A960AB" w:rsidRDefault="00A960AB" w:rsidP="00A960AB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14:paraId="08D610F9" w14:textId="5B5B23B4" w:rsidR="005E3FD0" w:rsidRPr="00C17F9E" w:rsidRDefault="00D75FEC" w:rsidP="00171F7E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C17F9E">
        <w:rPr>
          <w:rFonts w:ascii="Arial" w:hAnsi="Arial" w:cs="Arial"/>
          <w:color w:val="000000"/>
          <w:shd w:val="clear" w:color="auto" w:fill="FFFFFF"/>
          <w:lang w:val="es-ES"/>
        </w:rPr>
        <w:t xml:space="preserve">Por </w:t>
      </w:r>
      <w:r w:rsidR="00C96F3D" w:rsidRPr="00C17F9E">
        <w:rPr>
          <w:rFonts w:ascii="Arial" w:hAnsi="Arial" w:cs="Arial"/>
          <w:color w:val="000000"/>
          <w:shd w:val="clear" w:color="auto" w:fill="FFFFFF"/>
          <w:lang w:val="es-ES"/>
        </w:rPr>
        <w:t>último,</w:t>
      </w:r>
      <w:r w:rsidRPr="00C17F9E">
        <w:rPr>
          <w:rFonts w:ascii="Arial" w:hAnsi="Arial" w:cs="Arial"/>
          <w:color w:val="000000"/>
          <w:shd w:val="clear" w:color="auto" w:fill="FFFFFF"/>
          <w:lang w:val="es-ES"/>
        </w:rPr>
        <w:t xml:space="preserve"> se establece que estos recursos serán destinados para obras de infraestructura, forestación, saneamiento y remediación ambiental y acuífera</w:t>
      </w:r>
      <w:r w:rsidR="004D4859" w:rsidRPr="00C17F9E">
        <w:rPr>
          <w:rFonts w:ascii="Arial" w:hAnsi="Arial" w:cs="Arial"/>
          <w:color w:val="000000"/>
          <w:shd w:val="clear" w:color="auto" w:fill="FFFFFF"/>
          <w:lang w:val="es-ES"/>
        </w:rPr>
        <w:t>.</w:t>
      </w:r>
      <w:r w:rsidR="00C17F9E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7007CB" w:rsidRPr="00C17F9E">
        <w:rPr>
          <w:rFonts w:ascii="Arial" w:hAnsi="Arial" w:cs="Arial"/>
          <w:color w:val="000000"/>
          <w:shd w:val="clear" w:color="auto" w:fill="FFFFFF"/>
          <w:lang w:val="es-ES"/>
        </w:rPr>
        <w:t>La unificación del Proyecto establece que:</w:t>
      </w:r>
    </w:p>
    <w:p w14:paraId="27591D43" w14:textId="17C06A07" w:rsidR="001E3DB1" w:rsidRPr="008D5CC1" w:rsidRDefault="00202F06" w:rsidP="00C742C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ab/>
      </w:r>
      <w:r w:rsidR="007C2860" w:rsidRPr="008D5CC1">
        <w:rPr>
          <w:rFonts w:ascii="Arial" w:hAnsi="Arial" w:cs="Arial"/>
          <w:color w:val="000000"/>
          <w:shd w:val="clear" w:color="auto" w:fill="FFFFFF"/>
          <w:lang w:val="es-ES"/>
        </w:rPr>
        <w:t>Artículo</w:t>
      </w:r>
      <w:r w:rsidR="001E3DB1" w:rsidRPr="008D5CC1">
        <w:rPr>
          <w:rFonts w:ascii="Arial" w:hAnsi="Arial" w:cs="Arial"/>
          <w:color w:val="000000"/>
          <w:shd w:val="clear" w:color="auto" w:fill="FFFFFF"/>
          <w:lang w:val="es-ES"/>
        </w:rPr>
        <w:t xml:space="preserve"> 2.-  Se sustituye el </w:t>
      </w:r>
      <w:r w:rsidR="007C2860" w:rsidRPr="008D5CC1">
        <w:rPr>
          <w:rFonts w:ascii="Arial" w:hAnsi="Arial" w:cs="Arial"/>
          <w:color w:val="000000"/>
          <w:shd w:val="clear" w:color="auto" w:fill="FFFFFF"/>
          <w:lang w:val="es-ES"/>
        </w:rPr>
        <w:t>artículo</w:t>
      </w:r>
      <w:r w:rsidR="001E3DB1" w:rsidRPr="008D5CC1">
        <w:rPr>
          <w:rFonts w:ascii="Arial" w:hAnsi="Arial" w:cs="Arial"/>
          <w:color w:val="000000"/>
          <w:shd w:val="clear" w:color="auto" w:fill="FFFFFF"/>
          <w:lang w:val="es-ES"/>
        </w:rPr>
        <w:t xml:space="preserve"> 2 de la Ley 047, por el siguiente texto:</w:t>
      </w:r>
    </w:p>
    <w:p w14:paraId="27EB6E6C" w14:textId="2CB0E944" w:rsidR="001E3DB1" w:rsidRPr="008D5CC1" w:rsidRDefault="001E3DB1" w:rsidP="00C742CF">
      <w:pPr>
        <w:spacing w:line="360" w:lineRule="auto"/>
        <w:ind w:left="708"/>
        <w:jc w:val="both"/>
        <w:rPr>
          <w:rFonts w:ascii="Arial" w:hAnsi="Arial" w:cs="Arial"/>
          <w:i/>
          <w:iCs/>
          <w:color w:val="000000"/>
          <w:shd w:val="clear" w:color="auto" w:fill="FFFFFF"/>
          <w:lang w:val="es-ES"/>
        </w:rPr>
      </w:pP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“Art. 2.- La </w:t>
      </w:r>
      <w:r w:rsidR="007C2860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asignación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contemplada en el Presupuesto del Estado y calculada sobre la base de la venta de </w:t>
      </w:r>
      <w:r w:rsidR="007C2860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energía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de las centrales </w:t>
      </w:r>
      <w:r w:rsidR="007C2860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hidroeléctricas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de las provincias de Azuay, Cañar y Morona Santiago, </w:t>
      </w:r>
      <w:r w:rsidR="007C2860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será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́ transferida directamente por el Ministerio rector de las Finanzas Públicas, de conformidad con las disposiciones legales aplicables, de la siguiente forma: </w:t>
      </w:r>
    </w:p>
    <w:p w14:paraId="7CAE1CD5" w14:textId="6669EA5E" w:rsidR="001E3DB1" w:rsidRPr="008D5CC1" w:rsidRDefault="001E3DB1" w:rsidP="00C742CF">
      <w:pPr>
        <w:spacing w:line="360" w:lineRule="auto"/>
        <w:ind w:left="708"/>
        <w:jc w:val="both"/>
        <w:rPr>
          <w:rFonts w:ascii="Arial" w:hAnsi="Arial" w:cs="Arial"/>
          <w:i/>
          <w:iCs/>
          <w:color w:val="000000"/>
          <w:shd w:val="clear" w:color="auto" w:fill="FFFFFF"/>
          <w:lang w:val="es-ES"/>
        </w:rPr>
      </w:pP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- 20% en partes iguales entre los Gobiernos </w:t>
      </w:r>
      <w:r w:rsidR="007C2860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Autónomos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Descentralizados Provinciales de Azuay, Cañar y Morona Santiago; </w:t>
      </w:r>
    </w:p>
    <w:p w14:paraId="76C8171E" w14:textId="25F59659" w:rsidR="001E3DB1" w:rsidRPr="008D5CC1" w:rsidRDefault="001E3DB1" w:rsidP="00C742CF">
      <w:pPr>
        <w:spacing w:line="360" w:lineRule="auto"/>
        <w:ind w:left="708"/>
        <w:jc w:val="both"/>
        <w:rPr>
          <w:rFonts w:ascii="Arial" w:hAnsi="Arial" w:cs="Arial"/>
          <w:i/>
          <w:iCs/>
          <w:color w:val="000000"/>
          <w:shd w:val="clear" w:color="auto" w:fill="FFFFFF"/>
          <w:lang w:val="es-ES"/>
        </w:rPr>
      </w:pP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- 20% en partes iguales entre a los Gobiernos </w:t>
      </w:r>
      <w:r w:rsidR="007C2860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Autónomos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Descentralizados Parroquiales de Azuay, Cañar y Morona Santiago; y </w:t>
      </w:r>
    </w:p>
    <w:p w14:paraId="752BCC89" w14:textId="6B9D6417" w:rsidR="001E3DB1" w:rsidRPr="008D5CC1" w:rsidRDefault="001E3DB1" w:rsidP="00C742CF">
      <w:pPr>
        <w:spacing w:line="360" w:lineRule="auto"/>
        <w:ind w:left="708"/>
        <w:jc w:val="both"/>
        <w:rPr>
          <w:rFonts w:ascii="Arial" w:hAnsi="Arial" w:cs="Arial"/>
          <w:i/>
          <w:iCs/>
          <w:color w:val="000000"/>
          <w:shd w:val="clear" w:color="auto" w:fill="FFFFFF"/>
          <w:lang w:val="es-ES"/>
        </w:rPr>
      </w:pP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- 60% en partes iguales entre los a los Gobiernos </w:t>
      </w:r>
      <w:r w:rsidR="001A5684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Autónomos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Descentralizados Municipales de Azuay, Cañar y Morona Santiago.</w:t>
      </w:r>
    </w:p>
    <w:p w14:paraId="651FC6E3" w14:textId="336BA4F7" w:rsidR="007007CB" w:rsidRPr="008D5CC1" w:rsidRDefault="001E3DB1" w:rsidP="00C742CF">
      <w:pPr>
        <w:spacing w:line="360" w:lineRule="auto"/>
        <w:ind w:left="708"/>
        <w:jc w:val="both"/>
        <w:rPr>
          <w:rFonts w:ascii="Arial" w:hAnsi="Arial" w:cs="Arial"/>
          <w:i/>
          <w:iCs/>
          <w:color w:val="000000"/>
          <w:shd w:val="clear" w:color="auto" w:fill="FFFFFF"/>
          <w:lang w:val="es-ES"/>
        </w:rPr>
      </w:pP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Los Gobiernos Autónomos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Descentralizados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utilizaran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estos recursos exclusivamente en la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realización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de obras de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infraestructura, en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programas de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forestación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,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reforestación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, cuidado, saneamiento y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remediación</w:t>
      </w:r>
      <w:r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 xml:space="preserve"> ambiental y </w:t>
      </w:r>
      <w:r w:rsidR="008D5CC1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acuífera</w:t>
      </w:r>
      <w:r w:rsidR="007C2860" w:rsidRPr="008D5CC1">
        <w:rPr>
          <w:rFonts w:ascii="Arial" w:hAnsi="Arial" w:cs="Arial"/>
          <w:i/>
          <w:iCs/>
          <w:color w:val="000000"/>
          <w:shd w:val="clear" w:color="auto" w:fill="FFFFFF"/>
          <w:lang w:val="es-ES"/>
        </w:rPr>
        <w:t>”.</w:t>
      </w:r>
    </w:p>
    <w:p w14:paraId="408DB4DE" w14:textId="39AE5904" w:rsidR="0011678C" w:rsidRPr="008D5CC1" w:rsidRDefault="00EB2621" w:rsidP="00C17F9E">
      <w:pPr>
        <w:pStyle w:val="Textocomentario"/>
        <w:numPr>
          <w:ilvl w:val="0"/>
          <w:numId w:val="12"/>
        </w:numPr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</w:pPr>
      <w:r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lastRenderedPageBreak/>
        <w:t>Debemos entender</w:t>
      </w:r>
      <w:r w:rsidR="00C96F3D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>,</w:t>
      </w:r>
      <w:r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 principalmente</w:t>
      </w:r>
      <w:r w:rsidR="00C96F3D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>,</w:t>
      </w:r>
      <w:r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 que las reformas no </w:t>
      </w:r>
      <w:r w:rsidR="00C96F3D"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>implican</w:t>
      </w:r>
      <w:r w:rsidR="00C96F3D"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 </w:t>
      </w:r>
      <w:r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una nueva asignación </w:t>
      </w:r>
      <w:r w:rsidR="001138DA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de recursos, </w:t>
      </w:r>
      <w:r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sino </w:t>
      </w:r>
      <w:r w:rsidR="001138DA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una </w:t>
      </w:r>
      <w:r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>redistribución</w:t>
      </w:r>
      <w:r w:rsidR="0060256B" w:rsidRPr="008D5CC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. </w:t>
      </w:r>
      <w:r w:rsidR="00345034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Los porcentajes que se establecen en el Proyecto deben ser socializados y consultados directamente a los respectivos </w:t>
      </w:r>
      <w:r w:rsidR="008402C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GAD, dado que cada realidad territorial y financiera es particular a cada circunscripción </w:t>
      </w:r>
      <w:r w:rsidR="00984BF4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y se debe hacer un análisis más focalizado. Como órgano asociativo de los gobiernos provinciales auguramos que puedan llegar más recursos para estos niveles de gobierno, </w:t>
      </w:r>
      <w:r w:rsidR="004D326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>y que puedan acortarse las brechas territoriales.</w:t>
      </w:r>
      <w:r w:rsidR="0011678C" w:rsidRPr="0011678C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 </w:t>
      </w:r>
    </w:p>
    <w:p w14:paraId="40ABCAB0" w14:textId="77777777" w:rsidR="0011678C" w:rsidRPr="0011678C" w:rsidRDefault="0011678C" w:rsidP="00C742CF">
      <w:pPr>
        <w:pStyle w:val="Textocomentario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es-ES" w:eastAsia="en-US"/>
        </w:rPr>
      </w:pPr>
    </w:p>
    <w:p w14:paraId="74C15F00" w14:textId="4B9FAF3B" w:rsidR="008831F7" w:rsidRDefault="00A955AD" w:rsidP="007C692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Esta norma también dispone que los recursos asignados a los GAD</w:t>
      </w:r>
      <w:r w:rsidR="00D051AA">
        <w:rPr>
          <w:rFonts w:ascii="Arial" w:hAnsi="Arial" w:cs="Arial"/>
          <w:color w:val="000000"/>
          <w:shd w:val="clear" w:color="auto" w:fill="FFFFFF"/>
          <w:lang w:val="es-ES"/>
        </w:rPr>
        <w:t xml:space="preserve"> deberán ser empleados en importantes obras de infraestructura en</w:t>
      </w:r>
      <w:r w:rsidR="007C6922">
        <w:rPr>
          <w:rFonts w:ascii="Arial" w:hAnsi="Arial" w:cs="Arial"/>
          <w:color w:val="000000"/>
          <w:shd w:val="clear" w:color="auto" w:fill="FFFFFF"/>
          <w:lang w:val="es-ES"/>
        </w:rPr>
        <w:t xml:space="preserve"> materia ambiental y acuífera. Pese a que el espíritu de la norma es bueno, debe considerarse </w:t>
      </w:r>
      <w:r w:rsidR="00F41735">
        <w:rPr>
          <w:rFonts w:ascii="Arial" w:hAnsi="Arial" w:cs="Arial"/>
          <w:color w:val="000000"/>
          <w:shd w:val="clear" w:color="auto" w:fill="FFFFFF"/>
          <w:lang w:val="es-ES"/>
        </w:rPr>
        <w:t xml:space="preserve">la proporción que pueda existir entre las asignaciones y </w:t>
      </w:r>
      <w:r w:rsidR="00DC6AA6">
        <w:rPr>
          <w:rFonts w:ascii="Arial" w:hAnsi="Arial" w:cs="Arial"/>
          <w:color w:val="000000"/>
          <w:shd w:val="clear" w:color="auto" w:fill="FFFFFF"/>
          <w:lang w:val="es-ES"/>
        </w:rPr>
        <w:t>el presupuesto que tenga el GAD para obras en estos rubros</w:t>
      </w:r>
      <w:r w:rsidR="00FA2706">
        <w:rPr>
          <w:rFonts w:ascii="Arial" w:hAnsi="Arial" w:cs="Arial"/>
          <w:color w:val="000000"/>
          <w:shd w:val="clear" w:color="auto" w:fill="FFFFFF"/>
          <w:lang w:val="es-ES"/>
        </w:rPr>
        <w:t xml:space="preserve"> y la capacidad operativa de cada GAD.</w:t>
      </w:r>
      <w:r w:rsidR="00EA6994">
        <w:rPr>
          <w:rFonts w:ascii="Arial" w:hAnsi="Arial" w:cs="Arial"/>
          <w:color w:val="000000"/>
          <w:shd w:val="clear" w:color="auto" w:fill="FFFFFF"/>
          <w:lang w:val="es-ES"/>
        </w:rPr>
        <w:t xml:space="preserve"> Se propone que la limitación sea menos rigurosa y se disponga </w:t>
      </w:r>
      <w:r w:rsidR="00B61F68">
        <w:rPr>
          <w:rFonts w:ascii="Arial" w:hAnsi="Arial" w:cs="Arial"/>
          <w:color w:val="000000"/>
          <w:shd w:val="clear" w:color="auto" w:fill="FFFFFF"/>
          <w:lang w:val="es-ES"/>
        </w:rPr>
        <w:t>los recursos sean destinados al financiamiento de su competencia de gestión ambiental.</w:t>
      </w:r>
    </w:p>
    <w:p w14:paraId="029DC2E7" w14:textId="77777777" w:rsidR="00B63C0E" w:rsidRPr="00B63C0E" w:rsidRDefault="00B63C0E" w:rsidP="00B63C0E">
      <w:pPr>
        <w:pStyle w:val="Prrafodelista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79C0A9BD" w14:textId="77777777" w:rsidR="00FA46C0" w:rsidRPr="00FA46C0" w:rsidRDefault="00B8328E" w:rsidP="00FA46C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A06AE">
        <w:rPr>
          <w:rFonts w:ascii="Arial" w:hAnsi="Arial" w:cs="Arial"/>
          <w:color w:val="000000"/>
          <w:shd w:val="clear" w:color="auto" w:fill="FFFFFF"/>
          <w:lang w:val="es-ES"/>
        </w:rPr>
        <w:t>E</w:t>
      </w:r>
      <w:r w:rsidR="00633657">
        <w:rPr>
          <w:rFonts w:ascii="Arial" w:hAnsi="Arial" w:cs="Arial"/>
          <w:color w:val="000000"/>
          <w:shd w:val="clear" w:color="auto" w:fill="FFFFFF"/>
          <w:lang w:val="es-ES"/>
        </w:rPr>
        <w:t>n e</w:t>
      </w:r>
      <w:r w:rsidRPr="00DA06AE">
        <w:rPr>
          <w:rFonts w:ascii="Arial" w:hAnsi="Arial" w:cs="Arial"/>
          <w:color w:val="000000"/>
          <w:shd w:val="clear" w:color="auto" w:fill="FFFFFF"/>
          <w:lang w:val="es-ES"/>
        </w:rPr>
        <w:t xml:space="preserve">l artículo </w:t>
      </w:r>
      <w:r w:rsidR="00B63C0E" w:rsidRPr="00DA06AE">
        <w:rPr>
          <w:rFonts w:ascii="Arial" w:hAnsi="Arial" w:cs="Arial"/>
          <w:color w:val="000000"/>
          <w:shd w:val="clear" w:color="auto" w:fill="FFFFFF"/>
          <w:lang w:val="es-ES"/>
        </w:rPr>
        <w:t>3</w:t>
      </w:r>
      <w:r w:rsidRPr="00DA06AE">
        <w:rPr>
          <w:rFonts w:ascii="Arial" w:hAnsi="Arial" w:cs="Arial"/>
          <w:color w:val="000000"/>
          <w:shd w:val="clear" w:color="auto" w:fill="FFFFFF"/>
          <w:lang w:val="es-ES"/>
        </w:rPr>
        <w:t xml:space="preserve"> del</w:t>
      </w:r>
      <w:r w:rsidR="00B63C0E" w:rsidRPr="00DA06AE">
        <w:rPr>
          <w:rFonts w:ascii="Arial" w:hAnsi="Arial" w:cs="Arial"/>
          <w:color w:val="000000"/>
          <w:shd w:val="clear" w:color="auto" w:fill="FFFFFF"/>
          <w:lang w:val="es-ES"/>
        </w:rPr>
        <w:t xml:space="preserve"> Decreto</w:t>
      </w:r>
      <w:r w:rsidRPr="00DA06AE">
        <w:rPr>
          <w:rFonts w:ascii="Arial" w:hAnsi="Arial" w:cs="Arial"/>
          <w:color w:val="000000"/>
          <w:shd w:val="clear" w:color="auto" w:fill="FFFFFF"/>
          <w:lang w:val="es-ES"/>
        </w:rPr>
        <w:t xml:space="preserve"> Ley </w:t>
      </w:r>
      <w:r w:rsidR="00B63C0E" w:rsidRPr="00DA06AE">
        <w:rPr>
          <w:rFonts w:ascii="Arial" w:hAnsi="Arial" w:cs="Arial"/>
          <w:color w:val="000000"/>
          <w:shd w:val="clear" w:color="auto" w:fill="FFFFFF"/>
          <w:lang w:val="es-ES"/>
        </w:rPr>
        <w:t>0</w:t>
      </w:r>
      <w:r w:rsidRPr="00DA06AE">
        <w:rPr>
          <w:rFonts w:ascii="Arial" w:hAnsi="Arial" w:cs="Arial"/>
          <w:color w:val="000000"/>
          <w:shd w:val="clear" w:color="auto" w:fill="FFFFFF"/>
          <w:lang w:val="es-ES"/>
        </w:rPr>
        <w:t>47</w:t>
      </w:r>
      <w:r w:rsidR="00633657">
        <w:rPr>
          <w:rFonts w:ascii="Arial" w:hAnsi="Arial" w:cs="Arial"/>
          <w:color w:val="000000"/>
          <w:shd w:val="clear" w:color="auto" w:fill="FFFFFF"/>
          <w:lang w:val="es-ES"/>
        </w:rPr>
        <w:t>, relativo a las asignaciones</w:t>
      </w:r>
      <w:r w:rsidRPr="00DA06AE">
        <w:rPr>
          <w:rFonts w:ascii="Arial" w:hAnsi="Arial" w:cs="Arial"/>
          <w:color w:val="000000"/>
          <w:shd w:val="clear" w:color="auto" w:fill="FFFFFF"/>
          <w:lang w:val="es-ES"/>
        </w:rPr>
        <w:t xml:space="preserve"> por venta de energía de las </w:t>
      </w:r>
      <w:r w:rsidR="00B63C0E" w:rsidRPr="00DA06AE">
        <w:rPr>
          <w:rFonts w:ascii="Arial" w:hAnsi="Arial" w:cs="Arial"/>
          <w:color w:val="000000"/>
          <w:shd w:val="clear" w:color="auto" w:fill="FFFFFF"/>
          <w:lang w:val="es-ES"/>
        </w:rPr>
        <w:t>h</w:t>
      </w:r>
      <w:r w:rsidRPr="00DA06AE">
        <w:rPr>
          <w:rFonts w:ascii="Arial" w:hAnsi="Arial" w:cs="Arial"/>
          <w:color w:val="000000"/>
          <w:shd w:val="clear" w:color="auto" w:fill="FFFFFF"/>
          <w:lang w:val="es-ES"/>
        </w:rPr>
        <w:t xml:space="preserve">idroeléctricas de Pisayambo y Agoyan </w:t>
      </w:r>
      <w:r w:rsidR="00FA46C0">
        <w:rPr>
          <w:rFonts w:ascii="Arial" w:hAnsi="Arial" w:cs="Arial"/>
          <w:color w:val="000000"/>
          <w:shd w:val="clear" w:color="auto" w:fill="FFFFFF"/>
          <w:lang w:val="es-ES"/>
        </w:rPr>
        <w:t>se dispone una limitación como la analizada en el párrafo anterior, para la cual se realiza la misma recomendación.</w:t>
      </w:r>
    </w:p>
    <w:p w14:paraId="6F3CAFD8" w14:textId="77777777" w:rsidR="00FA46C0" w:rsidRPr="00FA46C0" w:rsidRDefault="00FA46C0" w:rsidP="00FA46C0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14:paraId="5F7E0839" w14:textId="2F534840" w:rsidR="00894102" w:rsidRPr="008D5CC1" w:rsidRDefault="00EF6CE9" w:rsidP="00C742CF">
      <w:pPr>
        <w:spacing w:after="0" w:line="360" w:lineRule="auto"/>
        <w:jc w:val="both"/>
        <w:rPr>
          <w:rFonts w:ascii="Arial" w:hAnsi="Arial" w:cs="Arial"/>
          <w:sz w:val="14"/>
          <w:szCs w:val="14"/>
          <w:lang w:val="es-ES"/>
        </w:rPr>
      </w:pPr>
      <w:r w:rsidRPr="008D5CC1">
        <w:rPr>
          <w:rFonts w:ascii="Arial" w:hAnsi="Arial" w:cs="Arial"/>
          <w:sz w:val="14"/>
          <w:szCs w:val="14"/>
          <w:lang w:val="es-ES"/>
        </w:rPr>
        <w:t>Elaborado por: Diego Gordillo</w:t>
      </w:r>
    </w:p>
    <w:p w14:paraId="28730D40" w14:textId="0AA6A3D3" w:rsidR="00EF6CE9" w:rsidRPr="008D5CC1" w:rsidRDefault="00EF6CE9" w:rsidP="00C742CF">
      <w:pPr>
        <w:spacing w:after="0" w:line="360" w:lineRule="auto"/>
        <w:jc w:val="both"/>
        <w:rPr>
          <w:rFonts w:ascii="Arial" w:hAnsi="Arial" w:cs="Arial"/>
          <w:sz w:val="14"/>
          <w:szCs w:val="14"/>
          <w:lang w:val="es-ES"/>
        </w:rPr>
      </w:pPr>
      <w:r w:rsidRPr="008D5CC1">
        <w:rPr>
          <w:rFonts w:ascii="Arial" w:hAnsi="Arial" w:cs="Arial"/>
          <w:sz w:val="14"/>
          <w:szCs w:val="14"/>
          <w:lang w:val="es-ES"/>
        </w:rPr>
        <w:t xml:space="preserve">Revisado por: Jaime Salazar </w:t>
      </w:r>
    </w:p>
    <w:p w14:paraId="44536AC3" w14:textId="77777777" w:rsidR="00955556" w:rsidRPr="008D5CC1" w:rsidRDefault="00955556" w:rsidP="00C742CF">
      <w:pPr>
        <w:spacing w:line="360" w:lineRule="auto"/>
        <w:jc w:val="both"/>
        <w:rPr>
          <w:rFonts w:ascii="Arial" w:hAnsi="Arial" w:cs="Arial"/>
          <w:i/>
          <w:iCs/>
          <w:lang w:val="es-ES"/>
        </w:rPr>
      </w:pPr>
    </w:p>
    <w:p w14:paraId="17842C58" w14:textId="77777777" w:rsidR="00BD3F4E" w:rsidRPr="008D5CC1" w:rsidRDefault="00BD3F4E" w:rsidP="00C742CF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68A4B02" w14:textId="6788CC8E" w:rsidR="00300C34" w:rsidRPr="008D5CC1" w:rsidRDefault="00300C34" w:rsidP="00C742CF">
      <w:pPr>
        <w:spacing w:line="360" w:lineRule="auto"/>
        <w:jc w:val="both"/>
        <w:rPr>
          <w:rFonts w:ascii="Arial" w:hAnsi="Arial" w:cs="Arial"/>
          <w:lang w:val="es-ES"/>
        </w:rPr>
      </w:pPr>
      <w:r w:rsidRPr="008D5CC1">
        <w:rPr>
          <w:rFonts w:ascii="Arial" w:hAnsi="Arial" w:cs="Arial"/>
          <w:lang w:val="es-ES"/>
        </w:rPr>
        <w:t xml:space="preserve"> </w:t>
      </w:r>
    </w:p>
    <w:p w14:paraId="1C37F0BF" w14:textId="665700E6" w:rsidR="002D5B6E" w:rsidRPr="008D5CC1" w:rsidRDefault="002D5B6E" w:rsidP="00C742CF">
      <w:pPr>
        <w:spacing w:line="360" w:lineRule="auto"/>
        <w:jc w:val="both"/>
        <w:rPr>
          <w:rFonts w:ascii="Arial" w:hAnsi="Arial" w:cs="Arial"/>
          <w:i/>
          <w:iCs/>
          <w:lang w:val="es-ES"/>
        </w:rPr>
      </w:pPr>
    </w:p>
    <w:p w14:paraId="52771ABA" w14:textId="77777777" w:rsidR="002D5B6E" w:rsidRPr="008D5CC1" w:rsidRDefault="002D5B6E" w:rsidP="00C742CF">
      <w:pPr>
        <w:spacing w:line="360" w:lineRule="auto"/>
        <w:jc w:val="both"/>
        <w:rPr>
          <w:rFonts w:ascii="Arial" w:hAnsi="Arial" w:cs="Arial"/>
        </w:rPr>
      </w:pPr>
    </w:p>
    <w:sectPr w:rsidR="002D5B6E" w:rsidRPr="008D5CC1" w:rsidSect="000436B5">
      <w:headerReference w:type="default" r:id="rId8"/>
      <w:footerReference w:type="default" r:id="rId9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EF48" w14:textId="77777777" w:rsidR="00766E04" w:rsidRDefault="00766E04" w:rsidP="000436B5">
      <w:pPr>
        <w:spacing w:after="0" w:line="240" w:lineRule="auto"/>
      </w:pPr>
      <w:r>
        <w:separator/>
      </w:r>
    </w:p>
  </w:endnote>
  <w:endnote w:type="continuationSeparator" w:id="0">
    <w:p w14:paraId="2B319AAC" w14:textId="77777777" w:rsidR="00766E04" w:rsidRDefault="00766E04" w:rsidP="0004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2401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E11D27" w14:textId="6DC2C984" w:rsidR="00D46905" w:rsidRDefault="00D46905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049E1" w14:textId="77777777" w:rsidR="00D46905" w:rsidRDefault="00D46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29A0" w14:textId="77777777" w:rsidR="00766E04" w:rsidRDefault="00766E04" w:rsidP="000436B5">
      <w:pPr>
        <w:spacing w:after="0" w:line="240" w:lineRule="auto"/>
      </w:pPr>
      <w:r>
        <w:separator/>
      </w:r>
    </w:p>
  </w:footnote>
  <w:footnote w:type="continuationSeparator" w:id="0">
    <w:p w14:paraId="607DC54F" w14:textId="77777777" w:rsidR="00766E04" w:rsidRDefault="00766E04" w:rsidP="000436B5">
      <w:pPr>
        <w:spacing w:after="0" w:line="240" w:lineRule="auto"/>
      </w:pPr>
      <w:r>
        <w:continuationSeparator/>
      </w:r>
    </w:p>
  </w:footnote>
  <w:footnote w:id="1">
    <w:p w14:paraId="14E10C19" w14:textId="55E5052D" w:rsidR="004E45BB" w:rsidRDefault="004E45BB">
      <w:pPr>
        <w:pStyle w:val="Textonotapie"/>
      </w:pPr>
      <w:r>
        <w:rPr>
          <w:rStyle w:val="Refdenotaalpie"/>
        </w:rPr>
        <w:footnoteRef/>
      </w:r>
      <w:r>
        <w:t xml:space="preserve"> Código Civil: artículo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88FE" w14:textId="6762FEB6" w:rsidR="002E5AB7" w:rsidRDefault="002E5AB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BD26C79" wp14:editId="7E4D78ED">
          <wp:simplePos x="0" y="0"/>
          <wp:positionH relativeFrom="margin">
            <wp:posOffset>1299845</wp:posOffset>
          </wp:positionH>
          <wp:positionV relativeFrom="paragraph">
            <wp:posOffset>-238760</wp:posOffset>
          </wp:positionV>
          <wp:extent cx="2743200" cy="654685"/>
          <wp:effectExtent l="0" t="0" r="0" b="0"/>
          <wp:wrapTight wrapText="bothSides">
            <wp:wrapPolygon edited="0">
              <wp:start x="0" y="0"/>
              <wp:lineTo x="0" y="20741"/>
              <wp:lineTo x="21450" y="20741"/>
              <wp:lineTo x="21450" y="0"/>
              <wp:lineTo x="0" y="0"/>
            </wp:wrapPolygon>
          </wp:wrapTight>
          <wp:docPr id="2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663"/>
    <w:multiLevelType w:val="hybridMultilevel"/>
    <w:tmpl w:val="611492F4"/>
    <w:lvl w:ilvl="0" w:tplc="31A26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E8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EF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C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6B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C4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43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21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2A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2E435F"/>
    <w:multiLevelType w:val="hybridMultilevel"/>
    <w:tmpl w:val="D8A6F912"/>
    <w:lvl w:ilvl="0" w:tplc="300A0013">
      <w:start w:val="1"/>
      <w:numFmt w:val="upperRoman"/>
      <w:lvlText w:val="%1."/>
      <w:lvlJc w:val="righ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1C49"/>
    <w:multiLevelType w:val="hybridMultilevel"/>
    <w:tmpl w:val="342A9764"/>
    <w:lvl w:ilvl="0" w:tplc="DC343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527AB"/>
    <w:multiLevelType w:val="hybridMultilevel"/>
    <w:tmpl w:val="21F0441E"/>
    <w:lvl w:ilvl="0" w:tplc="87D80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29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6E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4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8F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2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05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6C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C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413AD4"/>
    <w:multiLevelType w:val="hybridMultilevel"/>
    <w:tmpl w:val="0BE246B2"/>
    <w:lvl w:ilvl="0" w:tplc="74764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2A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0A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A2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08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40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E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A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C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045C68"/>
    <w:multiLevelType w:val="hybridMultilevel"/>
    <w:tmpl w:val="88EAEBD6"/>
    <w:lvl w:ilvl="0" w:tplc="2D1C1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20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84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A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0E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E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2A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AE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EA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4D5C19"/>
    <w:multiLevelType w:val="hybridMultilevel"/>
    <w:tmpl w:val="0D32A7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145"/>
    <w:multiLevelType w:val="hybridMultilevel"/>
    <w:tmpl w:val="5D2600A6"/>
    <w:lvl w:ilvl="0" w:tplc="3D0C6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F8F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CF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5CB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07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2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0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66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8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777B1D"/>
    <w:multiLevelType w:val="hybridMultilevel"/>
    <w:tmpl w:val="9E909C08"/>
    <w:lvl w:ilvl="0" w:tplc="601E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46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0B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AC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6E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4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6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0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5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BE33FE"/>
    <w:multiLevelType w:val="hybridMultilevel"/>
    <w:tmpl w:val="A9DE4904"/>
    <w:lvl w:ilvl="0" w:tplc="7542E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2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A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C6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8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47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26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C3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206F41"/>
    <w:multiLevelType w:val="hybridMultilevel"/>
    <w:tmpl w:val="AF304F72"/>
    <w:lvl w:ilvl="0" w:tplc="444EF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C7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6AA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4B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E9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60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8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64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BC041B0"/>
    <w:multiLevelType w:val="hybridMultilevel"/>
    <w:tmpl w:val="A1B40BE0"/>
    <w:lvl w:ilvl="0" w:tplc="D23C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08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E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21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0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25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0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AC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6E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B5"/>
    <w:rsid w:val="00013718"/>
    <w:rsid w:val="000150A3"/>
    <w:rsid w:val="0002206E"/>
    <w:rsid w:val="00022557"/>
    <w:rsid w:val="00031E0C"/>
    <w:rsid w:val="00040288"/>
    <w:rsid w:val="000436B5"/>
    <w:rsid w:val="00046EB5"/>
    <w:rsid w:val="000803DC"/>
    <w:rsid w:val="000A0F14"/>
    <w:rsid w:val="000A3845"/>
    <w:rsid w:val="000B20C2"/>
    <w:rsid w:val="000C2F5C"/>
    <w:rsid w:val="000C749A"/>
    <w:rsid w:val="000D1369"/>
    <w:rsid w:val="000D63C0"/>
    <w:rsid w:val="00100A19"/>
    <w:rsid w:val="001138DA"/>
    <w:rsid w:val="0011678C"/>
    <w:rsid w:val="00117C8F"/>
    <w:rsid w:val="0012269D"/>
    <w:rsid w:val="00141C3C"/>
    <w:rsid w:val="00152BE6"/>
    <w:rsid w:val="0017723F"/>
    <w:rsid w:val="00180506"/>
    <w:rsid w:val="00193C95"/>
    <w:rsid w:val="001A5684"/>
    <w:rsid w:val="001B6AAD"/>
    <w:rsid w:val="001B6AF3"/>
    <w:rsid w:val="001D4505"/>
    <w:rsid w:val="001E3DB1"/>
    <w:rsid w:val="00200B11"/>
    <w:rsid w:val="00202F06"/>
    <w:rsid w:val="00212FCD"/>
    <w:rsid w:val="0021448E"/>
    <w:rsid w:val="002172D5"/>
    <w:rsid w:val="002206CB"/>
    <w:rsid w:val="002241DA"/>
    <w:rsid w:val="00237525"/>
    <w:rsid w:val="00256D9A"/>
    <w:rsid w:val="0026443C"/>
    <w:rsid w:val="00264690"/>
    <w:rsid w:val="00267940"/>
    <w:rsid w:val="00282E8E"/>
    <w:rsid w:val="00285EEE"/>
    <w:rsid w:val="0028627C"/>
    <w:rsid w:val="0029205A"/>
    <w:rsid w:val="002A4ADA"/>
    <w:rsid w:val="002B48B0"/>
    <w:rsid w:val="002D5B6E"/>
    <w:rsid w:val="002E18BD"/>
    <w:rsid w:val="002E5370"/>
    <w:rsid w:val="002E5AB7"/>
    <w:rsid w:val="00300C34"/>
    <w:rsid w:val="003120A6"/>
    <w:rsid w:val="003216E4"/>
    <w:rsid w:val="003247D3"/>
    <w:rsid w:val="00343E3E"/>
    <w:rsid w:val="00345034"/>
    <w:rsid w:val="00347702"/>
    <w:rsid w:val="003519DF"/>
    <w:rsid w:val="003649D8"/>
    <w:rsid w:val="00397B8C"/>
    <w:rsid w:val="003A06BF"/>
    <w:rsid w:val="003A076F"/>
    <w:rsid w:val="003A0923"/>
    <w:rsid w:val="003A331E"/>
    <w:rsid w:val="003A7BF9"/>
    <w:rsid w:val="003C53B3"/>
    <w:rsid w:val="003D5D99"/>
    <w:rsid w:val="003D7988"/>
    <w:rsid w:val="003D79F9"/>
    <w:rsid w:val="0040124B"/>
    <w:rsid w:val="004230C6"/>
    <w:rsid w:val="004300F3"/>
    <w:rsid w:val="004513B5"/>
    <w:rsid w:val="00472BEA"/>
    <w:rsid w:val="00497985"/>
    <w:rsid w:val="004A4D05"/>
    <w:rsid w:val="004B4A20"/>
    <w:rsid w:val="004C6EEB"/>
    <w:rsid w:val="004D326E"/>
    <w:rsid w:val="004D4859"/>
    <w:rsid w:val="004E45BB"/>
    <w:rsid w:val="004E6146"/>
    <w:rsid w:val="004F3A22"/>
    <w:rsid w:val="004F69DF"/>
    <w:rsid w:val="00527787"/>
    <w:rsid w:val="00547CA7"/>
    <w:rsid w:val="00556761"/>
    <w:rsid w:val="00557C5C"/>
    <w:rsid w:val="005638D1"/>
    <w:rsid w:val="00566118"/>
    <w:rsid w:val="00567430"/>
    <w:rsid w:val="00575EA9"/>
    <w:rsid w:val="005923FE"/>
    <w:rsid w:val="005930CE"/>
    <w:rsid w:val="005B73C2"/>
    <w:rsid w:val="005C1F31"/>
    <w:rsid w:val="005C6157"/>
    <w:rsid w:val="005E18E3"/>
    <w:rsid w:val="005E3FD0"/>
    <w:rsid w:val="005F01C7"/>
    <w:rsid w:val="005F45A0"/>
    <w:rsid w:val="005F6FF4"/>
    <w:rsid w:val="005F7600"/>
    <w:rsid w:val="006023AF"/>
    <w:rsid w:val="0060256B"/>
    <w:rsid w:val="00602657"/>
    <w:rsid w:val="00612A28"/>
    <w:rsid w:val="00616B3F"/>
    <w:rsid w:val="00633657"/>
    <w:rsid w:val="00633F67"/>
    <w:rsid w:val="00667613"/>
    <w:rsid w:val="00671BEA"/>
    <w:rsid w:val="00672A42"/>
    <w:rsid w:val="006807C1"/>
    <w:rsid w:val="006813F7"/>
    <w:rsid w:val="006A1A71"/>
    <w:rsid w:val="006A53CE"/>
    <w:rsid w:val="006B28D1"/>
    <w:rsid w:val="006B390E"/>
    <w:rsid w:val="006B4371"/>
    <w:rsid w:val="006C0034"/>
    <w:rsid w:val="006C496A"/>
    <w:rsid w:val="006D49A6"/>
    <w:rsid w:val="006D65EA"/>
    <w:rsid w:val="006E6215"/>
    <w:rsid w:val="006E7443"/>
    <w:rsid w:val="006F5D3F"/>
    <w:rsid w:val="007007CB"/>
    <w:rsid w:val="007065AC"/>
    <w:rsid w:val="00710817"/>
    <w:rsid w:val="007243A3"/>
    <w:rsid w:val="00743CCE"/>
    <w:rsid w:val="007545FD"/>
    <w:rsid w:val="00766E04"/>
    <w:rsid w:val="00767462"/>
    <w:rsid w:val="00771991"/>
    <w:rsid w:val="0077771F"/>
    <w:rsid w:val="00777FD7"/>
    <w:rsid w:val="00780A2C"/>
    <w:rsid w:val="007A6AC7"/>
    <w:rsid w:val="007B6EF4"/>
    <w:rsid w:val="007C2860"/>
    <w:rsid w:val="007C6922"/>
    <w:rsid w:val="007D14DF"/>
    <w:rsid w:val="007D3425"/>
    <w:rsid w:val="007F703B"/>
    <w:rsid w:val="00800C3F"/>
    <w:rsid w:val="00802FC5"/>
    <w:rsid w:val="00806CB5"/>
    <w:rsid w:val="00827FA5"/>
    <w:rsid w:val="00831015"/>
    <w:rsid w:val="008402CE"/>
    <w:rsid w:val="008472F0"/>
    <w:rsid w:val="00867E00"/>
    <w:rsid w:val="00871787"/>
    <w:rsid w:val="00875B34"/>
    <w:rsid w:val="008831F7"/>
    <w:rsid w:val="00894102"/>
    <w:rsid w:val="008C223C"/>
    <w:rsid w:val="008C3FFB"/>
    <w:rsid w:val="008C5750"/>
    <w:rsid w:val="008D44B5"/>
    <w:rsid w:val="008D5CC1"/>
    <w:rsid w:val="008F3407"/>
    <w:rsid w:val="00901D9C"/>
    <w:rsid w:val="0091081D"/>
    <w:rsid w:val="009136A4"/>
    <w:rsid w:val="00920D56"/>
    <w:rsid w:val="00935421"/>
    <w:rsid w:val="00941B3C"/>
    <w:rsid w:val="00950699"/>
    <w:rsid w:val="00952082"/>
    <w:rsid w:val="00955556"/>
    <w:rsid w:val="00977F2C"/>
    <w:rsid w:val="00984BF4"/>
    <w:rsid w:val="00986F0D"/>
    <w:rsid w:val="009A16F1"/>
    <w:rsid w:val="009E773A"/>
    <w:rsid w:val="009F3836"/>
    <w:rsid w:val="00A1080B"/>
    <w:rsid w:val="00A12BBE"/>
    <w:rsid w:val="00A147AA"/>
    <w:rsid w:val="00A246CA"/>
    <w:rsid w:val="00A26C54"/>
    <w:rsid w:val="00A34BBA"/>
    <w:rsid w:val="00A63B92"/>
    <w:rsid w:val="00A81ED5"/>
    <w:rsid w:val="00A84A2F"/>
    <w:rsid w:val="00A8773A"/>
    <w:rsid w:val="00A932D7"/>
    <w:rsid w:val="00A955AD"/>
    <w:rsid w:val="00A95A45"/>
    <w:rsid w:val="00A960AB"/>
    <w:rsid w:val="00AA2A6C"/>
    <w:rsid w:val="00AA36C6"/>
    <w:rsid w:val="00AA3CBB"/>
    <w:rsid w:val="00AB6D0D"/>
    <w:rsid w:val="00AC4005"/>
    <w:rsid w:val="00AD0C40"/>
    <w:rsid w:val="00AD3DA6"/>
    <w:rsid w:val="00B1420F"/>
    <w:rsid w:val="00B27193"/>
    <w:rsid w:val="00B33395"/>
    <w:rsid w:val="00B35BB9"/>
    <w:rsid w:val="00B46663"/>
    <w:rsid w:val="00B61F68"/>
    <w:rsid w:val="00B63C0E"/>
    <w:rsid w:val="00B64F6E"/>
    <w:rsid w:val="00B65839"/>
    <w:rsid w:val="00B704DF"/>
    <w:rsid w:val="00B72C22"/>
    <w:rsid w:val="00B73398"/>
    <w:rsid w:val="00B7403A"/>
    <w:rsid w:val="00B81054"/>
    <w:rsid w:val="00B82A83"/>
    <w:rsid w:val="00B8328E"/>
    <w:rsid w:val="00B84C01"/>
    <w:rsid w:val="00B900E3"/>
    <w:rsid w:val="00B92A42"/>
    <w:rsid w:val="00B94EF8"/>
    <w:rsid w:val="00BA2870"/>
    <w:rsid w:val="00BB3B89"/>
    <w:rsid w:val="00BB3BEC"/>
    <w:rsid w:val="00BC4B2E"/>
    <w:rsid w:val="00BD3F4E"/>
    <w:rsid w:val="00BD4285"/>
    <w:rsid w:val="00BD50AE"/>
    <w:rsid w:val="00BF2541"/>
    <w:rsid w:val="00BF4E8B"/>
    <w:rsid w:val="00C0183A"/>
    <w:rsid w:val="00C15ECD"/>
    <w:rsid w:val="00C16FFC"/>
    <w:rsid w:val="00C17F9E"/>
    <w:rsid w:val="00C25800"/>
    <w:rsid w:val="00C742CF"/>
    <w:rsid w:val="00C77BA1"/>
    <w:rsid w:val="00C9169E"/>
    <w:rsid w:val="00C95C7B"/>
    <w:rsid w:val="00C96F3D"/>
    <w:rsid w:val="00CA6A31"/>
    <w:rsid w:val="00CB2621"/>
    <w:rsid w:val="00CC2774"/>
    <w:rsid w:val="00CD3148"/>
    <w:rsid w:val="00CD5C59"/>
    <w:rsid w:val="00CF040F"/>
    <w:rsid w:val="00D051AA"/>
    <w:rsid w:val="00D330D7"/>
    <w:rsid w:val="00D37FF4"/>
    <w:rsid w:val="00D436FA"/>
    <w:rsid w:val="00D45A7E"/>
    <w:rsid w:val="00D46905"/>
    <w:rsid w:val="00D62F94"/>
    <w:rsid w:val="00D709CC"/>
    <w:rsid w:val="00D71667"/>
    <w:rsid w:val="00D75FEC"/>
    <w:rsid w:val="00D803ED"/>
    <w:rsid w:val="00D8419C"/>
    <w:rsid w:val="00D8495B"/>
    <w:rsid w:val="00D97CFE"/>
    <w:rsid w:val="00DA06AE"/>
    <w:rsid w:val="00DA1191"/>
    <w:rsid w:val="00DB3A34"/>
    <w:rsid w:val="00DC1DEF"/>
    <w:rsid w:val="00DC6AA6"/>
    <w:rsid w:val="00E073C2"/>
    <w:rsid w:val="00E313D6"/>
    <w:rsid w:val="00E34E21"/>
    <w:rsid w:val="00E3748E"/>
    <w:rsid w:val="00E44D23"/>
    <w:rsid w:val="00E5645E"/>
    <w:rsid w:val="00E66107"/>
    <w:rsid w:val="00E75C4B"/>
    <w:rsid w:val="00E75F02"/>
    <w:rsid w:val="00E848AB"/>
    <w:rsid w:val="00E95CC3"/>
    <w:rsid w:val="00E96750"/>
    <w:rsid w:val="00EA6994"/>
    <w:rsid w:val="00EB2621"/>
    <w:rsid w:val="00EF6CE9"/>
    <w:rsid w:val="00F02E0F"/>
    <w:rsid w:val="00F07AFA"/>
    <w:rsid w:val="00F30C23"/>
    <w:rsid w:val="00F41735"/>
    <w:rsid w:val="00F534C8"/>
    <w:rsid w:val="00F61A91"/>
    <w:rsid w:val="00F71CE3"/>
    <w:rsid w:val="00F75156"/>
    <w:rsid w:val="00FA2706"/>
    <w:rsid w:val="00FA46C0"/>
    <w:rsid w:val="00FA5C0E"/>
    <w:rsid w:val="00FA7E4C"/>
    <w:rsid w:val="00FC349A"/>
    <w:rsid w:val="00FE2E28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FED1"/>
  <w15:chartTrackingRefBased/>
  <w15:docId w15:val="{1AC5ECF4-545B-4E87-8DF8-3D12E930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B5"/>
  </w:style>
  <w:style w:type="paragraph" w:styleId="Piedepgina">
    <w:name w:val="footer"/>
    <w:basedOn w:val="Normal"/>
    <w:link w:val="PiedepginaCar"/>
    <w:uiPriority w:val="99"/>
    <w:unhideWhenUsed/>
    <w:rsid w:val="0004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B5"/>
  </w:style>
  <w:style w:type="paragraph" w:styleId="Prrafodelista">
    <w:name w:val="List Paragraph"/>
    <w:basedOn w:val="Normal"/>
    <w:uiPriority w:val="34"/>
    <w:qFormat/>
    <w:rsid w:val="00C77BA1"/>
    <w:pPr>
      <w:ind w:left="720"/>
      <w:contextualSpacing/>
    </w:pPr>
  </w:style>
  <w:style w:type="character" w:customStyle="1" w:styleId="nrmar">
    <w:name w:val="nrmar"/>
    <w:basedOn w:val="Fuentedeprrafopredeter"/>
    <w:rsid w:val="00397B8C"/>
  </w:style>
  <w:style w:type="character" w:customStyle="1" w:styleId="hit">
    <w:name w:val="hit"/>
    <w:basedOn w:val="Fuentedeprrafopredeter"/>
    <w:rsid w:val="00397B8C"/>
  </w:style>
  <w:style w:type="paragraph" w:styleId="NormalWeb">
    <w:name w:val="Normal (Web)"/>
    <w:basedOn w:val="Normal"/>
    <w:uiPriority w:val="99"/>
    <w:unhideWhenUsed/>
    <w:rsid w:val="005F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56743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2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621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Sinespaciado">
    <w:name w:val="No Spacing"/>
    <w:uiPriority w:val="1"/>
    <w:qFormat/>
    <w:rsid w:val="00B2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45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45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4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6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6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A8B8-35C1-47EE-AE69-D20C3F63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4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Gordillo Narváez</dc:creator>
  <cp:keywords/>
  <dc:description/>
  <cp:lastModifiedBy>Jaime Salazar</cp:lastModifiedBy>
  <cp:revision>56</cp:revision>
  <cp:lastPrinted>2022-03-18T14:28:00Z</cp:lastPrinted>
  <dcterms:created xsi:type="dcterms:W3CDTF">2022-03-18T22:41:00Z</dcterms:created>
  <dcterms:modified xsi:type="dcterms:W3CDTF">2022-03-21T02:18:00Z</dcterms:modified>
</cp:coreProperties>
</file>