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72" w:rsidRPr="00EF3169" w:rsidRDefault="005B1172" w:rsidP="00EF3169">
      <w:pPr>
        <w:jc w:val="right"/>
        <w:rPr>
          <w:b/>
        </w:rPr>
      </w:pPr>
      <w:r w:rsidRPr="00EF3169">
        <w:rPr>
          <w:b/>
        </w:rPr>
        <w:t xml:space="preserve">Oficio No.- </w:t>
      </w:r>
    </w:p>
    <w:p w:rsidR="00EF3169" w:rsidRDefault="00EF3169" w:rsidP="00EF3169"/>
    <w:p w:rsidR="00262B48" w:rsidRDefault="005B1172" w:rsidP="00EF3169">
      <w:r>
        <w:t xml:space="preserve">Quito, </w:t>
      </w:r>
      <w:r w:rsidR="00EF3169">
        <w:t>2</w:t>
      </w:r>
      <w:r>
        <w:t>1 de febrero de 2020</w:t>
      </w:r>
    </w:p>
    <w:p w:rsidR="00EF3169" w:rsidRDefault="00EF3169" w:rsidP="00EF3169"/>
    <w:p w:rsidR="005B1172" w:rsidRDefault="005B1172" w:rsidP="00EF3169">
      <w:r>
        <w:t>Doctor</w:t>
      </w:r>
      <w:r w:rsidR="00EF3169">
        <w:br/>
      </w:r>
      <w:r w:rsidR="00EF3169" w:rsidRPr="00EF3169">
        <w:rPr>
          <w:b/>
        </w:rPr>
        <w:t xml:space="preserve">Jaime </w:t>
      </w:r>
      <w:proofErr w:type="spellStart"/>
      <w:r w:rsidR="00EF3169" w:rsidRPr="00EF3169">
        <w:rPr>
          <w:b/>
        </w:rPr>
        <w:t>Ol</w:t>
      </w:r>
      <w:r w:rsidRPr="00EF3169">
        <w:rPr>
          <w:b/>
        </w:rPr>
        <w:t>ivio</w:t>
      </w:r>
      <w:proofErr w:type="spellEnd"/>
      <w:r w:rsidRPr="00EF3169">
        <w:rPr>
          <w:b/>
        </w:rPr>
        <w:t xml:space="preserve"> </w:t>
      </w:r>
      <w:proofErr w:type="spellStart"/>
      <w:r w:rsidRPr="00EF3169">
        <w:rPr>
          <w:b/>
        </w:rPr>
        <w:t>Pallo</w:t>
      </w:r>
      <w:proofErr w:type="spellEnd"/>
      <w:r w:rsidR="00EF3169" w:rsidRPr="00EF3169">
        <w:rPr>
          <w:b/>
        </w:rPr>
        <w:br/>
      </w:r>
      <w:r w:rsidRPr="00EF3169">
        <w:rPr>
          <w:b/>
        </w:rPr>
        <w:t>PRESIDENTE DE LA COMISIÓN  ESPECIALIZADA  PERMANENTE  DE LOS DERECHOS  COLECTIVOS COMUNITARIOS Y LA INTERCULTURALIDAD</w:t>
      </w:r>
      <w:r w:rsidR="00EF3169">
        <w:rPr>
          <w:b/>
        </w:rPr>
        <w:br/>
      </w:r>
      <w:r w:rsidR="00EF3169" w:rsidRPr="00EF3169">
        <w:rPr>
          <w:b/>
        </w:rPr>
        <w:t xml:space="preserve">ASAMBLEA NACIONAL </w:t>
      </w:r>
      <w:r w:rsidR="00EF3169" w:rsidRPr="00EF3169">
        <w:rPr>
          <w:b/>
        </w:rPr>
        <w:br/>
      </w:r>
      <w:r w:rsidR="00EF3169">
        <w:t>Presente</w:t>
      </w:r>
    </w:p>
    <w:p w:rsidR="00EF3169" w:rsidRDefault="00EF3169" w:rsidP="00EF3169"/>
    <w:p w:rsidR="00762569" w:rsidRDefault="005B1172" w:rsidP="005B1172">
      <w:pPr>
        <w:jc w:val="both"/>
      </w:pPr>
      <w:r>
        <w:t>Reciba usted un cordial saludo de  quienes conformamos el Consorcio de Gobiernos Autónomos Provinciales del Ecuador</w:t>
      </w:r>
      <w:r w:rsidR="00762569">
        <w:t xml:space="preserve"> CONGOPE</w:t>
      </w:r>
      <w:r w:rsidR="00EF3169">
        <w:t xml:space="preserve">. </w:t>
      </w:r>
      <w:r w:rsidR="0082060A">
        <w:t>D</w:t>
      </w:r>
      <w:r>
        <w:t>entro del tratamiento del “</w:t>
      </w:r>
      <w:r w:rsidRPr="005B1172">
        <w:rPr>
          <w:b/>
          <w:i/>
        </w:rPr>
        <w:t>PROYECTO</w:t>
      </w:r>
      <w:r>
        <w:rPr>
          <w:b/>
          <w:i/>
        </w:rPr>
        <w:t xml:space="preserve">  DE LEY ORGÁNICA REFORMATORIA</w:t>
      </w:r>
      <w:r w:rsidRPr="005B1172">
        <w:rPr>
          <w:b/>
          <w:i/>
        </w:rPr>
        <w:t xml:space="preserve"> A LA LEY ORGÁNICA  DE COMUNICACIÓN, PARA REGULAR EL EXCESO  DE PUBLICIDAD  Y PROPAGANDA  DEL SECTOR PÚBLICO</w:t>
      </w:r>
      <w:r>
        <w:rPr>
          <w:b/>
          <w:i/>
        </w:rPr>
        <w:t>”</w:t>
      </w:r>
      <w:r w:rsidR="00762569">
        <w:rPr>
          <w:b/>
          <w:i/>
        </w:rPr>
        <w:t xml:space="preserve">, </w:t>
      </w:r>
      <w:r w:rsidR="0082060A">
        <w:t>que está</w:t>
      </w:r>
      <w:r w:rsidRPr="005B1172">
        <w:t xml:space="preserve"> tratando  la Comisión que usted tan acertadamente preside. </w:t>
      </w:r>
      <w:r w:rsidR="0038470F">
        <w:t xml:space="preserve"> </w:t>
      </w:r>
    </w:p>
    <w:p w:rsidR="009B4FF0" w:rsidRDefault="0038470F" w:rsidP="005B1172">
      <w:pPr>
        <w:jc w:val="both"/>
      </w:pPr>
      <w:r>
        <w:t xml:space="preserve">A través del presente remitimos una propuesta  modificatoria  al Art. </w:t>
      </w:r>
      <w:r w:rsidR="00762569">
        <w:t xml:space="preserve">74 de la citada Ley, la misma que está </w:t>
      </w:r>
      <w:r w:rsidR="009B4FF0">
        <w:t xml:space="preserve">orientada a fortalecer </w:t>
      </w:r>
      <w:r w:rsidR="00762569">
        <w:t xml:space="preserve">la </w:t>
      </w:r>
      <w:r w:rsidR="009B4FF0">
        <w:t xml:space="preserve">gestión de los gobiernos autónomos descentralizados </w:t>
      </w:r>
      <w:r w:rsidR="00762569">
        <w:t xml:space="preserve">provinciales a  través de la comunicación. 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BA3849" w:rsidRPr="003B587F" w:rsidTr="00190752">
        <w:trPr>
          <w:trHeight w:val="436"/>
        </w:trPr>
        <w:tc>
          <w:tcPr>
            <w:tcW w:w="3397" w:type="dxa"/>
            <w:vAlign w:val="center"/>
          </w:tcPr>
          <w:p w:rsidR="00BA3849" w:rsidRPr="003B587F" w:rsidRDefault="00BA3849" w:rsidP="003B587F">
            <w:pPr>
              <w:jc w:val="center"/>
              <w:rPr>
                <w:sz w:val="20"/>
                <w:szCs w:val="20"/>
              </w:rPr>
            </w:pPr>
            <w:r w:rsidRPr="003B587F">
              <w:rPr>
                <w:b/>
                <w:sz w:val="20"/>
                <w:szCs w:val="20"/>
              </w:rPr>
              <w:t>TEXTO ACTUAL</w:t>
            </w:r>
          </w:p>
        </w:tc>
        <w:tc>
          <w:tcPr>
            <w:tcW w:w="3402" w:type="dxa"/>
            <w:vAlign w:val="center"/>
          </w:tcPr>
          <w:p w:rsidR="00BA3849" w:rsidRPr="003B587F" w:rsidRDefault="00BA3849" w:rsidP="00190752">
            <w:pPr>
              <w:jc w:val="center"/>
              <w:rPr>
                <w:b/>
                <w:sz w:val="20"/>
                <w:szCs w:val="20"/>
              </w:rPr>
            </w:pPr>
            <w:r w:rsidRPr="003B587F">
              <w:rPr>
                <w:b/>
                <w:sz w:val="20"/>
                <w:szCs w:val="20"/>
              </w:rPr>
              <w:t>PROPUESTA MODIFICATORIA DE TEXTO</w:t>
            </w:r>
          </w:p>
        </w:tc>
        <w:tc>
          <w:tcPr>
            <w:tcW w:w="2410" w:type="dxa"/>
            <w:vAlign w:val="center"/>
          </w:tcPr>
          <w:p w:rsidR="00BA3849" w:rsidRPr="003B587F" w:rsidRDefault="00BA3849" w:rsidP="00BA3849">
            <w:pPr>
              <w:jc w:val="center"/>
              <w:rPr>
                <w:b/>
                <w:sz w:val="20"/>
                <w:szCs w:val="20"/>
              </w:rPr>
            </w:pPr>
            <w:r w:rsidRPr="003B587F">
              <w:rPr>
                <w:b/>
                <w:sz w:val="20"/>
                <w:szCs w:val="20"/>
              </w:rPr>
              <w:t>COMENTARIO</w:t>
            </w:r>
          </w:p>
        </w:tc>
      </w:tr>
      <w:tr w:rsidR="00BA3849" w:rsidRPr="003B587F" w:rsidTr="00190752">
        <w:tc>
          <w:tcPr>
            <w:tcW w:w="3397" w:type="dxa"/>
          </w:tcPr>
          <w:p w:rsidR="00BA3849" w:rsidRDefault="00BA3849" w:rsidP="00A829DA">
            <w:pPr>
              <w:jc w:val="both"/>
              <w:rPr>
                <w:sz w:val="20"/>
                <w:szCs w:val="20"/>
              </w:rPr>
            </w:pPr>
            <w:r w:rsidRPr="003B587F">
              <w:rPr>
                <w:rStyle w:val="nrmar"/>
                <w:b/>
                <w:sz w:val="20"/>
                <w:szCs w:val="20"/>
              </w:rPr>
              <w:t>Art. 74</w:t>
            </w:r>
            <w:r w:rsidRPr="003B587F">
              <w:rPr>
                <w:b/>
                <w:sz w:val="20"/>
                <w:szCs w:val="20"/>
              </w:rPr>
              <w:t>.- Obligaciones de los medios audiovisuales.-</w:t>
            </w:r>
            <w:r w:rsidR="00484DD3">
              <w:rPr>
                <w:sz w:val="20"/>
                <w:szCs w:val="20"/>
              </w:rPr>
              <w:t xml:space="preserve"> </w:t>
            </w:r>
            <w:r w:rsidR="00484DD3" w:rsidRPr="00484D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Los medios de comunicación, radio y televisión de señal abierta tendrán la obligación de prestar gratuitamente los siguientes servicios sociales de información de interés general:</w:t>
            </w:r>
          </w:p>
          <w:p w:rsidR="00A829DA" w:rsidRDefault="00484DD3" w:rsidP="00A829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(…) </w:t>
            </w: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829DA" w:rsidRPr="00A829DA" w:rsidRDefault="00A829DA" w:rsidP="00A829DA">
            <w:pPr>
              <w:jc w:val="both"/>
              <w:rPr>
                <w:sz w:val="20"/>
                <w:szCs w:val="20"/>
              </w:rPr>
            </w:pPr>
            <w:r w:rsidRPr="00A829D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Se entenderá como interés general aquel conjunto de pretensiones relacionadas con las necesidades colectivas de los ciudadanos y ciudadanas del país.</w:t>
            </w:r>
          </w:p>
        </w:tc>
        <w:tc>
          <w:tcPr>
            <w:tcW w:w="3402" w:type="dxa"/>
          </w:tcPr>
          <w:p w:rsidR="00484DD3" w:rsidRDefault="00BA3849" w:rsidP="00BA3849">
            <w:pPr>
              <w:jc w:val="both"/>
              <w:rPr>
                <w:sz w:val="20"/>
                <w:szCs w:val="20"/>
              </w:rPr>
            </w:pPr>
            <w:r w:rsidRPr="003B587F">
              <w:rPr>
                <w:rStyle w:val="nrmar"/>
                <w:b/>
                <w:sz w:val="20"/>
                <w:szCs w:val="20"/>
              </w:rPr>
              <w:lastRenderedPageBreak/>
              <w:t>Art. 74</w:t>
            </w:r>
            <w:r w:rsidRPr="003B587F">
              <w:rPr>
                <w:b/>
                <w:sz w:val="20"/>
                <w:szCs w:val="20"/>
              </w:rPr>
              <w:t>.- Obligaciones de los medios audiovisuales</w:t>
            </w:r>
            <w:r w:rsidR="00484DD3">
              <w:rPr>
                <w:b/>
                <w:sz w:val="20"/>
                <w:szCs w:val="20"/>
              </w:rPr>
              <w:t xml:space="preserve"> y prensa escrita</w:t>
            </w:r>
            <w:r w:rsidRPr="003B587F">
              <w:rPr>
                <w:b/>
                <w:sz w:val="20"/>
                <w:szCs w:val="20"/>
              </w:rPr>
              <w:t>.-</w:t>
            </w:r>
            <w:r w:rsidRPr="003B587F">
              <w:rPr>
                <w:sz w:val="20"/>
                <w:szCs w:val="20"/>
              </w:rPr>
              <w:t xml:space="preserve"> </w:t>
            </w:r>
            <w:r w:rsidR="00484DD3" w:rsidRPr="00484D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Los</w:t>
            </w:r>
            <w:r w:rsidR="00484D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medios de comunicación, radio y </w:t>
            </w:r>
            <w:r w:rsidR="00484DD3" w:rsidRPr="00484D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televisión de señal abierta</w:t>
            </w:r>
            <w:r w:rsidR="00484D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484DD3" w:rsidRPr="00484DD3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y prensa escrita,</w:t>
            </w:r>
            <w:r w:rsidR="00484DD3" w:rsidRPr="00484DD3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84DD3" w:rsidRPr="00484D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tendrán la obligación de prestar gratuitamente los siguientes servicios sociales de información de interés general:</w:t>
            </w:r>
            <w:r w:rsidR="00484DD3">
              <w:rPr>
                <w:sz w:val="20"/>
                <w:szCs w:val="20"/>
              </w:rPr>
              <w:t xml:space="preserve"> </w:t>
            </w:r>
          </w:p>
          <w:p w:rsidR="003B587F" w:rsidRDefault="006C3302" w:rsidP="00BA3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(…)</w:t>
            </w:r>
          </w:p>
          <w:p w:rsidR="006C3302" w:rsidRDefault="006C3302" w:rsidP="006C3302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3B587F" w:rsidRPr="00A829DA" w:rsidRDefault="006C3302" w:rsidP="00BA3849">
            <w:pPr>
              <w:jc w:val="both"/>
              <w:rPr>
                <w:b/>
                <w:sz w:val="20"/>
                <w:szCs w:val="20"/>
              </w:rPr>
            </w:pPr>
            <w:r w:rsidRPr="00A829DA">
              <w:rPr>
                <w:b/>
                <w:sz w:val="20"/>
                <w:szCs w:val="20"/>
              </w:rPr>
              <w:t xml:space="preserve">Luego del literal d, incorpórese el siguiente literal: </w:t>
            </w:r>
          </w:p>
          <w:p w:rsidR="00BA3849" w:rsidRDefault="00BA3849" w:rsidP="00190752">
            <w:pPr>
              <w:pStyle w:val="Prrafodelista"/>
              <w:ind w:left="175"/>
              <w:jc w:val="both"/>
              <w:rPr>
                <w:sz w:val="20"/>
                <w:szCs w:val="20"/>
              </w:rPr>
            </w:pPr>
          </w:p>
          <w:p w:rsidR="00BA3849" w:rsidRDefault="006C3302" w:rsidP="00A829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="00190752" w:rsidRPr="006C3302">
              <w:rPr>
                <w:sz w:val="20"/>
                <w:szCs w:val="20"/>
              </w:rPr>
              <w:t xml:space="preserve">Transmitir en cadena nacional o local, en todos o en varios medios de </w:t>
            </w:r>
            <w:r w:rsidR="00190752" w:rsidRPr="006C3302">
              <w:rPr>
                <w:rStyle w:val="hit"/>
                <w:sz w:val="20"/>
                <w:szCs w:val="20"/>
              </w:rPr>
              <w:t>comunicación</w:t>
            </w:r>
            <w:r w:rsidR="00190752" w:rsidRPr="006C3302">
              <w:rPr>
                <w:sz w:val="20"/>
                <w:szCs w:val="20"/>
              </w:rPr>
              <w:t xml:space="preserve"> social, incluida la prensa escrita, los mensajes de interés general que dispongan los titulares de los </w:t>
            </w:r>
            <w:r w:rsidR="00190752" w:rsidRPr="006C3302">
              <w:rPr>
                <w:b/>
                <w:sz w:val="20"/>
                <w:szCs w:val="20"/>
              </w:rPr>
              <w:t>Gobiernos Autónomos Descentralizados</w:t>
            </w:r>
            <w:r w:rsidR="00190752" w:rsidRPr="006C3302">
              <w:rPr>
                <w:sz w:val="20"/>
                <w:szCs w:val="20"/>
              </w:rPr>
              <w:t>, siempre y cuando se haya notificado al medio con al menos 24 horas de anticipació</w:t>
            </w:r>
            <w:r w:rsidR="00A829DA">
              <w:rPr>
                <w:sz w:val="20"/>
                <w:szCs w:val="20"/>
              </w:rPr>
              <w:t>n, excepto en casos de declaratoria de emergencia</w:t>
            </w:r>
            <w:r w:rsidR="00190752" w:rsidRPr="006C3302">
              <w:rPr>
                <w:sz w:val="20"/>
                <w:szCs w:val="20"/>
              </w:rPr>
              <w:t>. Los titulares de los GAD harán uso de este espacio destinado a realizar las cadenas establecidas en este numeral.</w:t>
            </w:r>
            <w:r w:rsidR="00190752" w:rsidRPr="006C3302">
              <w:rPr>
                <w:b/>
                <w:sz w:val="20"/>
                <w:szCs w:val="20"/>
              </w:rPr>
              <w:t xml:space="preserve"> </w:t>
            </w:r>
          </w:p>
          <w:p w:rsidR="00A829DA" w:rsidRDefault="00A829DA" w:rsidP="00A829DA">
            <w:pPr>
              <w:jc w:val="both"/>
              <w:rPr>
                <w:b/>
                <w:sz w:val="20"/>
                <w:szCs w:val="20"/>
              </w:rPr>
            </w:pPr>
          </w:p>
          <w:p w:rsidR="00A829DA" w:rsidRDefault="00A829DA" w:rsidP="00A829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Sustituir el último inciso del artículo 74, por el siguiente: </w:t>
            </w:r>
          </w:p>
          <w:p w:rsidR="00A829DA" w:rsidRDefault="00A829DA" w:rsidP="00A829DA">
            <w:pPr>
              <w:jc w:val="both"/>
              <w:rPr>
                <w:b/>
                <w:sz w:val="20"/>
                <w:szCs w:val="20"/>
              </w:rPr>
            </w:pPr>
          </w:p>
          <w:p w:rsidR="00A829DA" w:rsidRDefault="00240A56" w:rsidP="00A829DA">
            <w:pPr>
              <w:jc w:val="both"/>
              <w:rPr>
                <w:b/>
                <w:sz w:val="20"/>
                <w:szCs w:val="20"/>
              </w:rPr>
            </w:pPr>
            <w:r w:rsidRPr="00A829D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Se entenderá como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información de</w:t>
            </w:r>
            <w:r w:rsidRPr="00A829D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interés general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aquella relacionada exclusivamente con el objeto institucional, la gestión de los </w:t>
            </w:r>
            <w:r w:rsidR="00484DD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gobiernos autónomos descentralizados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, ejecución de obras y proyectos, generación de bienes y servicios públicos, catástrofes naturales y eventos de conmoción interna de cada TERRITORIO. </w:t>
            </w:r>
          </w:p>
          <w:p w:rsidR="00240A56" w:rsidRDefault="00240A56" w:rsidP="00A829DA">
            <w:pPr>
              <w:jc w:val="both"/>
              <w:rPr>
                <w:b/>
                <w:sz w:val="20"/>
                <w:szCs w:val="20"/>
              </w:rPr>
            </w:pPr>
          </w:p>
          <w:p w:rsidR="00240A56" w:rsidRPr="006C3302" w:rsidRDefault="00240A56" w:rsidP="00A8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4DD3" w:rsidRDefault="00484DD3" w:rsidP="005B1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 incluye prensa escrita en virtud de la importancia de que la ciudadanía pueda recibir información de interés general por este medio.  </w:t>
            </w:r>
          </w:p>
          <w:p w:rsidR="00484DD3" w:rsidRDefault="00484DD3" w:rsidP="005B1172">
            <w:pPr>
              <w:jc w:val="both"/>
              <w:rPr>
                <w:sz w:val="20"/>
                <w:szCs w:val="20"/>
              </w:rPr>
            </w:pPr>
          </w:p>
          <w:p w:rsidR="00BA3849" w:rsidRDefault="00190752" w:rsidP="005B1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</w:t>
            </w:r>
            <w:r w:rsidR="00A829DA">
              <w:rPr>
                <w:sz w:val="20"/>
                <w:szCs w:val="20"/>
              </w:rPr>
              <w:t>gar al artículo 74 un literal e</w:t>
            </w:r>
            <w:r>
              <w:rPr>
                <w:sz w:val="20"/>
                <w:szCs w:val="20"/>
              </w:rPr>
              <w:t xml:space="preserve">) donde se otorgue a los GAD el derecho a informar gratuitamente en los medios de comunicación, radio y televisión de señal abierta, incluida la prensa escrita. </w:t>
            </w:r>
          </w:p>
          <w:p w:rsidR="00190752" w:rsidRDefault="00190752" w:rsidP="005B117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A829DA" w:rsidRDefault="00A829DA" w:rsidP="00190752">
            <w:pPr>
              <w:jc w:val="both"/>
              <w:rPr>
                <w:sz w:val="20"/>
                <w:szCs w:val="20"/>
              </w:rPr>
            </w:pPr>
          </w:p>
          <w:p w:rsidR="00190752" w:rsidRPr="003B587F" w:rsidRDefault="00A829DA" w:rsidP="00240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Es necesario </w:t>
            </w:r>
            <w:r w:rsidR="00240A56">
              <w:rPr>
                <w:sz w:val="20"/>
                <w:szCs w:val="20"/>
              </w:rPr>
              <w:t xml:space="preserve">especificar en qué consiste la información de interés general que va a ser difundida de manera gratuita en los medios de comunicación.  </w:t>
            </w:r>
          </w:p>
        </w:tc>
      </w:tr>
      <w:tr w:rsidR="00A829DA" w:rsidRPr="003B587F" w:rsidTr="00190752">
        <w:tc>
          <w:tcPr>
            <w:tcW w:w="3397" w:type="dxa"/>
          </w:tcPr>
          <w:p w:rsidR="00A829DA" w:rsidRPr="003B587F" w:rsidRDefault="00484DD3" w:rsidP="00A829DA">
            <w:pPr>
              <w:jc w:val="both"/>
              <w:rPr>
                <w:rStyle w:val="nrmar"/>
                <w:b/>
                <w:sz w:val="20"/>
                <w:szCs w:val="20"/>
              </w:rPr>
            </w:pPr>
            <w:r>
              <w:rPr>
                <w:rStyle w:val="nrmar"/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Art. 91.6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.- Publicidad. Toda forma de comunicación realizada en el marco de una actividad comercial, industrial, artesanal o liberal con el fin de promover el suministro de bienes o la prestación de servicios, incluidos los bienes inmuebles, sus derechos y obligaciones.</w:t>
            </w:r>
          </w:p>
        </w:tc>
        <w:tc>
          <w:tcPr>
            <w:tcW w:w="3402" w:type="dxa"/>
          </w:tcPr>
          <w:p w:rsidR="00A829DA" w:rsidRDefault="00484DD3" w:rsidP="00BA3849">
            <w:pPr>
              <w:jc w:val="both"/>
              <w:rPr>
                <w:rStyle w:val="nrmar"/>
                <w:b/>
                <w:sz w:val="20"/>
                <w:szCs w:val="20"/>
              </w:rPr>
            </w:pPr>
            <w:r>
              <w:rPr>
                <w:rStyle w:val="nrmar"/>
                <w:b/>
                <w:sz w:val="20"/>
                <w:szCs w:val="20"/>
              </w:rPr>
              <w:t xml:space="preserve">Luego del artículo 91.6, agréguese el siguiente inciso: </w:t>
            </w:r>
          </w:p>
          <w:p w:rsidR="00484DD3" w:rsidRDefault="00484DD3" w:rsidP="00BA3849">
            <w:pPr>
              <w:jc w:val="both"/>
              <w:rPr>
                <w:rStyle w:val="nrmar"/>
                <w:b/>
                <w:sz w:val="20"/>
                <w:szCs w:val="20"/>
              </w:rPr>
            </w:pPr>
          </w:p>
          <w:p w:rsidR="00484DD3" w:rsidRPr="004030F5" w:rsidRDefault="00484DD3" w:rsidP="00BA3849">
            <w:pPr>
              <w:jc w:val="both"/>
              <w:rPr>
                <w:rStyle w:val="nrmar"/>
                <w:sz w:val="20"/>
                <w:szCs w:val="20"/>
              </w:rPr>
            </w:pPr>
            <w:r w:rsidRPr="006900C4">
              <w:rPr>
                <w:rStyle w:val="nrmar"/>
                <w:sz w:val="20"/>
                <w:szCs w:val="20"/>
                <w:highlight w:val="yellow"/>
              </w:rPr>
              <w:t>En el caso de los gobiernos autónomos descentralizados, se entenderá</w:t>
            </w:r>
            <w:r w:rsidR="004030F5" w:rsidRPr="006900C4">
              <w:rPr>
                <w:rStyle w:val="nrmar"/>
                <w:sz w:val="20"/>
                <w:szCs w:val="20"/>
                <w:highlight w:val="yellow"/>
              </w:rPr>
              <w:t xml:space="preserve"> por publicidad aquella información relacionada con actividades </w:t>
            </w:r>
            <w:r w:rsidR="006900C4" w:rsidRPr="006900C4">
              <w:rPr>
                <w:rStyle w:val="nrmar"/>
                <w:sz w:val="20"/>
                <w:szCs w:val="20"/>
                <w:highlight w:val="yellow"/>
              </w:rPr>
              <w:t>comerciales, de fomento productivo, de turismo,</w:t>
            </w:r>
            <w:r w:rsidR="006900C4">
              <w:rPr>
                <w:rStyle w:val="nrmar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A829DA" w:rsidRDefault="00A829DA" w:rsidP="005B1172">
            <w:pPr>
              <w:jc w:val="both"/>
              <w:rPr>
                <w:sz w:val="20"/>
                <w:szCs w:val="20"/>
              </w:rPr>
            </w:pPr>
          </w:p>
        </w:tc>
      </w:tr>
      <w:tr w:rsidR="00A829DA" w:rsidRPr="003B587F" w:rsidTr="00190752">
        <w:tc>
          <w:tcPr>
            <w:tcW w:w="3397" w:type="dxa"/>
          </w:tcPr>
          <w:p w:rsidR="00A829DA" w:rsidRPr="003B587F" w:rsidRDefault="00A829DA" w:rsidP="00A829DA">
            <w:pPr>
              <w:jc w:val="both"/>
              <w:rPr>
                <w:rStyle w:val="nrmar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829DA" w:rsidRPr="003B587F" w:rsidRDefault="00A829DA" w:rsidP="00BA3849">
            <w:pPr>
              <w:jc w:val="both"/>
              <w:rPr>
                <w:rStyle w:val="nrmar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829DA" w:rsidRDefault="00E8281A" w:rsidP="003A4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Basándose en los gastos de publicidad realizado por los </w:t>
            </w:r>
            <w:proofErr w:type="spellStart"/>
            <w:r>
              <w:rPr>
                <w:sz w:val="20"/>
                <w:szCs w:val="20"/>
              </w:rPr>
              <w:t>GADP</w:t>
            </w:r>
            <w:proofErr w:type="spellEnd"/>
            <w:r>
              <w:rPr>
                <w:sz w:val="20"/>
                <w:szCs w:val="20"/>
              </w:rPr>
              <w:t xml:space="preserve">, se considera </w:t>
            </w:r>
            <w:r w:rsidR="003A4D09">
              <w:rPr>
                <w:sz w:val="20"/>
                <w:szCs w:val="20"/>
              </w:rPr>
              <w:t>necesario eliminar el límite del 0.2%</w:t>
            </w:r>
            <w:r>
              <w:rPr>
                <w:sz w:val="20"/>
                <w:szCs w:val="20"/>
              </w:rPr>
              <w:t>.</w:t>
            </w:r>
            <w:r w:rsidR="003A4D09">
              <w:rPr>
                <w:sz w:val="20"/>
                <w:szCs w:val="20"/>
              </w:rPr>
              <w:t xml:space="preserve"> Solo considerar los límites del </w:t>
            </w:r>
            <w:proofErr w:type="spellStart"/>
            <w:r w:rsidR="003A4D09">
              <w:rPr>
                <w:sz w:val="20"/>
                <w:szCs w:val="20"/>
              </w:rPr>
              <w:t>COPLAFIP</w:t>
            </w:r>
            <w:proofErr w:type="spellEnd"/>
            <w:r w:rsidR="003A4D09">
              <w:rPr>
                <w:sz w:val="20"/>
                <w:szCs w:val="20"/>
              </w:rPr>
              <w:t xml:space="preserve"> con respecto a gasto corriente e inversión.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829DA" w:rsidRPr="003B587F" w:rsidTr="00190752">
        <w:tc>
          <w:tcPr>
            <w:tcW w:w="3397" w:type="dxa"/>
          </w:tcPr>
          <w:p w:rsidR="00A829DA" w:rsidRPr="003B587F" w:rsidRDefault="00A829DA" w:rsidP="00A829DA">
            <w:pPr>
              <w:jc w:val="both"/>
              <w:rPr>
                <w:rStyle w:val="nrmar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829DA" w:rsidRPr="003A4D09" w:rsidRDefault="003A4D09" w:rsidP="00BA3849">
            <w:pPr>
              <w:jc w:val="both"/>
              <w:rPr>
                <w:rStyle w:val="nrmar"/>
                <w:sz w:val="20"/>
                <w:szCs w:val="20"/>
              </w:rPr>
            </w:pPr>
            <w:r>
              <w:rPr>
                <w:rStyle w:val="nrmar"/>
                <w:sz w:val="20"/>
                <w:szCs w:val="20"/>
              </w:rPr>
              <w:t xml:space="preserve">Con respecto a la promoción de marca o imagen institucional, debería imputarse a gasto corriente. </w:t>
            </w:r>
          </w:p>
        </w:tc>
        <w:tc>
          <w:tcPr>
            <w:tcW w:w="2410" w:type="dxa"/>
          </w:tcPr>
          <w:p w:rsidR="00A829DA" w:rsidRDefault="00E8281A" w:rsidP="005B1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sobre actividades propias del </w:t>
            </w:r>
            <w:proofErr w:type="spellStart"/>
            <w:r>
              <w:rPr>
                <w:sz w:val="20"/>
                <w:szCs w:val="20"/>
              </w:rPr>
              <w:t>GADP</w:t>
            </w:r>
            <w:bookmarkStart w:id="0" w:name="_GoBack"/>
            <w:bookmarkEnd w:id="0"/>
            <w:proofErr w:type="spellEnd"/>
            <w:r>
              <w:rPr>
                <w:sz w:val="20"/>
                <w:szCs w:val="20"/>
              </w:rPr>
              <w:t xml:space="preserve"> puede ser considerada como gasto corriente, lo que implica que no puede superarse el 30% del gasto de la entidad.</w:t>
            </w:r>
          </w:p>
        </w:tc>
      </w:tr>
      <w:tr w:rsidR="00A829DA" w:rsidRPr="003B587F" w:rsidTr="00190752">
        <w:tc>
          <w:tcPr>
            <w:tcW w:w="3397" w:type="dxa"/>
          </w:tcPr>
          <w:p w:rsidR="00A829DA" w:rsidRPr="003B587F" w:rsidRDefault="00A829DA" w:rsidP="00A829DA">
            <w:pPr>
              <w:jc w:val="both"/>
              <w:rPr>
                <w:rStyle w:val="nrmar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829DA" w:rsidRPr="003B587F" w:rsidRDefault="00A829DA" w:rsidP="00BA3849">
            <w:pPr>
              <w:jc w:val="both"/>
              <w:rPr>
                <w:rStyle w:val="nrmar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829DA" w:rsidRDefault="00E8281A" w:rsidP="00E828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Cuando se promociona servicios para acceder a un derecho, o formación ciudadana debería considerarse como inversión. </w:t>
            </w:r>
          </w:p>
        </w:tc>
      </w:tr>
    </w:tbl>
    <w:p w:rsidR="00BA3849" w:rsidRDefault="00BA3849" w:rsidP="005B1172">
      <w:pPr>
        <w:jc w:val="both"/>
      </w:pPr>
    </w:p>
    <w:p w:rsidR="00BA3849" w:rsidRDefault="00BA3849" w:rsidP="005B1172">
      <w:pPr>
        <w:jc w:val="both"/>
      </w:pPr>
    </w:p>
    <w:p w:rsidR="005B1172" w:rsidRDefault="00BA3849" w:rsidP="005B1172">
      <w:pPr>
        <w:jc w:val="both"/>
      </w:pPr>
      <w:r>
        <w:t xml:space="preserve">Con sentimientos de  consideración y estima </w:t>
      </w:r>
    </w:p>
    <w:p w:rsidR="005B1172" w:rsidRDefault="005B1172" w:rsidP="005B1172">
      <w:pPr>
        <w:jc w:val="both"/>
      </w:pPr>
      <w:r>
        <w:t>Atentamente</w:t>
      </w:r>
    </w:p>
    <w:p w:rsidR="005B1172" w:rsidRDefault="005B1172" w:rsidP="005B1172">
      <w:pPr>
        <w:jc w:val="both"/>
      </w:pPr>
    </w:p>
    <w:p w:rsidR="00BA3849" w:rsidRDefault="00BA3849" w:rsidP="005B1172">
      <w:pPr>
        <w:jc w:val="both"/>
      </w:pPr>
    </w:p>
    <w:p w:rsidR="005B1172" w:rsidRDefault="005B1172" w:rsidP="005B1172">
      <w:pPr>
        <w:jc w:val="both"/>
      </w:pPr>
      <w:r>
        <w:lastRenderedPageBreak/>
        <w:t>Dr. Edwin Miño Arcos</w:t>
      </w:r>
    </w:p>
    <w:p w:rsidR="005B1172" w:rsidRPr="00BA3849" w:rsidRDefault="00BA3849" w:rsidP="005B1172">
      <w:pPr>
        <w:jc w:val="both"/>
        <w:rPr>
          <w:b/>
        </w:rPr>
      </w:pPr>
      <w:r w:rsidRPr="00BA3849">
        <w:rPr>
          <w:b/>
        </w:rPr>
        <w:t xml:space="preserve">DIRECTOR EJECUTIVO CONGOPE. </w:t>
      </w:r>
    </w:p>
    <w:p w:rsidR="005B1172" w:rsidRPr="00BA3849" w:rsidRDefault="005B1172" w:rsidP="005B1172">
      <w:pPr>
        <w:jc w:val="both"/>
        <w:rPr>
          <w:b/>
        </w:rPr>
      </w:pPr>
    </w:p>
    <w:p w:rsidR="005B1172" w:rsidRDefault="005B1172" w:rsidP="005B1172">
      <w:pPr>
        <w:jc w:val="both"/>
      </w:pPr>
    </w:p>
    <w:p w:rsidR="005B1172" w:rsidRDefault="005B1172" w:rsidP="005B1172">
      <w:pPr>
        <w:jc w:val="both"/>
      </w:pPr>
    </w:p>
    <w:sectPr w:rsidR="005B1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4678"/>
    <w:multiLevelType w:val="hybridMultilevel"/>
    <w:tmpl w:val="7A14C8AE"/>
    <w:lvl w:ilvl="0" w:tplc="88EC5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E431E4"/>
    <w:multiLevelType w:val="hybridMultilevel"/>
    <w:tmpl w:val="DD800D9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C3200"/>
    <w:multiLevelType w:val="hybridMultilevel"/>
    <w:tmpl w:val="46C210F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35E39"/>
    <w:multiLevelType w:val="hybridMultilevel"/>
    <w:tmpl w:val="6C6AB88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72"/>
    <w:rsid w:val="00190752"/>
    <w:rsid w:val="00240A56"/>
    <w:rsid w:val="002A7634"/>
    <w:rsid w:val="002E640B"/>
    <w:rsid w:val="0038470F"/>
    <w:rsid w:val="003A4D09"/>
    <w:rsid w:val="003B587F"/>
    <w:rsid w:val="003E5386"/>
    <w:rsid w:val="004030F5"/>
    <w:rsid w:val="00484DD3"/>
    <w:rsid w:val="005B1172"/>
    <w:rsid w:val="006900C4"/>
    <w:rsid w:val="006C3302"/>
    <w:rsid w:val="00721B46"/>
    <w:rsid w:val="00762569"/>
    <w:rsid w:val="0082060A"/>
    <w:rsid w:val="009B4FF0"/>
    <w:rsid w:val="00A829DA"/>
    <w:rsid w:val="00BA3849"/>
    <w:rsid w:val="00E3096F"/>
    <w:rsid w:val="00E8281A"/>
    <w:rsid w:val="00EE23A1"/>
    <w:rsid w:val="00EF3169"/>
    <w:rsid w:val="00F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37079-AE54-4976-8A11-AF86258A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">
    <w:name w:val="nrmar"/>
    <w:basedOn w:val="Fuentedeprrafopredeter"/>
    <w:rsid w:val="00EE23A1"/>
  </w:style>
  <w:style w:type="character" w:customStyle="1" w:styleId="hit">
    <w:name w:val="hit"/>
    <w:basedOn w:val="Fuentedeprrafopredeter"/>
    <w:rsid w:val="00EE23A1"/>
  </w:style>
  <w:style w:type="character" w:customStyle="1" w:styleId="nrmnt">
    <w:name w:val="nrmnt"/>
    <w:basedOn w:val="Fuentedeprrafopredeter"/>
    <w:rsid w:val="00EE23A1"/>
  </w:style>
  <w:style w:type="character" w:styleId="Hipervnculo">
    <w:name w:val="Hyperlink"/>
    <w:basedOn w:val="Fuentedeprrafopredeter"/>
    <w:uiPriority w:val="99"/>
    <w:semiHidden/>
    <w:unhideWhenUsed/>
    <w:rsid w:val="00EE23A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E23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Segovia</dc:creator>
  <cp:keywords/>
  <dc:description/>
  <cp:lastModifiedBy>Andrés Zambrano Espinoza</cp:lastModifiedBy>
  <cp:revision>2</cp:revision>
  <dcterms:created xsi:type="dcterms:W3CDTF">2020-02-26T22:35:00Z</dcterms:created>
  <dcterms:modified xsi:type="dcterms:W3CDTF">2020-02-26T22:35:00Z</dcterms:modified>
</cp:coreProperties>
</file>