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CCF1" w14:textId="3720E79C" w:rsidR="00314160" w:rsidRDefault="00314160">
      <w:pPr>
        <w:rPr>
          <w:rStyle w:val="nrmar"/>
          <w:rFonts w:ascii="Arial" w:hAnsi="Arial" w:cs="Arial"/>
          <w:color w:val="000000"/>
          <w:shd w:val="clear" w:color="auto" w:fill="FFFFFF"/>
        </w:rPr>
      </w:pPr>
      <w:r w:rsidRPr="00314160">
        <w:rPr>
          <w:rStyle w:val="nrmar"/>
          <w:rFonts w:ascii="Arial" w:hAnsi="Arial" w:cs="Arial"/>
          <w:color w:val="000000"/>
          <w:shd w:val="clear" w:color="auto" w:fill="FFFFFF"/>
        </w:rPr>
        <w:t>En primer lugar</w:t>
      </w:r>
      <w:r>
        <w:rPr>
          <w:rStyle w:val="nrmar"/>
          <w:rFonts w:ascii="Arial" w:hAnsi="Arial" w:cs="Arial"/>
          <w:color w:val="000000"/>
          <w:shd w:val="clear" w:color="auto" w:fill="FFFFFF"/>
        </w:rPr>
        <w:t xml:space="preserve"> queremos agradecer a los señores Asambleistas miembros de esta Comisión y a su señor Presidente por la invitación.</w:t>
      </w:r>
    </w:p>
    <w:p w14:paraId="046217A7" w14:textId="7B5CD573" w:rsidR="00314160" w:rsidRDefault="00314160">
      <w:pPr>
        <w:rPr>
          <w:rStyle w:val="nrmar"/>
          <w:rFonts w:ascii="Arial" w:hAnsi="Arial" w:cs="Arial"/>
          <w:color w:val="000000"/>
          <w:shd w:val="clear" w:color="auto" w:fill="FFFFFF"/>
        </w:rPr>
      </w:pPr>
      <w:r>
        <w:rPr>
          <w:rStyle w:val="nrmar"/>
          <w:rFonts w:ascii="Arial" w:hAnsi="Arial" w:cs="Arial"/>
          <w:color w:val="000000"/>
          <w:shd w:val="clear" w:color="auto" w:fill="FFFFFF"/>
        </w:rPr>
        <w:t>Como ente asociativo de las 23 provincias del Ecuador continental, para nosotros es muy importante participar en la discusión de toda norma jurídica que involucre a nuestros asociados</w:t>
      </w:r>
      <w:r w:rsidR="007A5622">
        <w:rPr>
          <w:rStyle w:val="nrmar"/>
          <w:rFonts w:ascii="Arial" w:hAnsi="Arial" w:cs="Arial"/>
          <w:color w:val="000000"/>
          <w:shd w:val="clear" w:color="auto" w:fill="FFFFFF"/>
        </w:rPr>
        <w:t xml:space="preserve"> y reconocemos la valiosa labora que realiza esta Comisión para el impulso a las autonomías y descentralización.</w:t>
      </w:r>
    </w:p>
    <w:p w14:paraId="76938834" w14:textId="7C7DE6E4" w:rsidR="00314160" w:rsidRDefault="00314160">
      <w:pPr>
        <w:rPr>
          <w:rStyle w:val="nrmar"/>
          <w:rFonts w:ascii="Arial" w:hAnsi="Arial" w:cs="Arial"/>
          <w:color w:val="000000"/>
          <w:shd w:val="clear" w:color="auto" w:fill="FFFFFF"/>
        </w:rPr>
      </w:pPr>
      <w:r>
        <w:rPr>
          <w:rStyle w:val="nrmar"/>
          <w:rFonts w:ascii="Arial" w:hAnsi="Arial" w:cs="Arial"/>
          <w:color w:val="000000"/>
          <w:shd w:val="clear" w:color="auto" w:fill="FFFFFF"/>
        </w:rPr>
        <w:t>Sobre el proyecto de ley reformatoria a la Ley orgánica de ordenamiento territorial, uso y gestión del suelo, debemos manifestar varios puntos:</w:t>
      </w:r>
    </w:p>
    <w:p w14:paraId="050FADF2" w14:textId="33B1FC3D" w:rsidR="00314160" w:rsidRDefault="00314160" w:rsidP="00723B1F">
      <w:pPr>
        <w:rPr>
          <w:rStyle w:val="nrmar"/>
          <w:rFonts w:ascii="Arial" w:hAnsi="Arial" w:cs="Arial"/>
          <w:color w:val="000000"/>
          <w:shd w:val="clear" w:color="auto" w:fill="FFFFFF"/>
        </w:rPr>
      </w:pPr>
      <w:r w:rsidRPr="00723B1F">
        <w:rPr>
          <w:rStyle w:val="nrmar"/>
          <w:rFonts w:ascii="Arial" w:hAnsi="Arial" w:cs="Arial"/>
          <w:color w:val="000000"/>
          <w:shd w:val="clear" w:color="auto" w:fill="FFFFFF"/>
        </w:rPr>
        <w:t>En primer lugar: la planificación es un elemento trascendental para la gestión de los GAD</w:t>
      </w:r>
      <w:r w:rsidR="00CE750E" w:rsidRPr="00723B1F">
        <w:rPr>
          <w:rStyle w:val="nrmar"/>
          <w:rFonts w:ascii="Arial" w:hAnsi="Arial" w:cs="Arial"/>
          <w:color w:val="000000"/>
          <w:shd w:val="clear" w:color="auto" w:fill="FFFFFF"/>
        </w:rPr>
        <w:t xml:space="preserve"> </w:t>
      </w:r>
      <w:r w:rsidR="00CE750E" w:rsidRPr="00CE750E">
        <w:rPr>
          <w:rStyle w:val="nrmar"/>
          <w:rFonts w:ascii="Arial" w:hAnsi="Arial" w:cs="Arial"/>
          <w:color w:val="000000"/>
          <w:shd w:val="clear" w:color="auto" w:fill="FFFFFF"/>
        </w:rPr>
        <w:sym w:font="Wingdings" w:char="F0E0"/>
      </w:r>
      <w:r w:rsidR="00CE750E" w:rsidRPr="00723B1F">
        <w:rPr>
          <w:rStyle w:val="nrmar"/>
          <w:rFonts w:ascii="Arial" w:hAnsi="Arial" w:cs="Arial"/>
          <w:color w:val="000000"/>
          <w:shd w:val="clear" w:color="auto" w:fill="FFFFFF"/>
        </w:rPr>
        <w:t xml:space="preserve"> </w:t>
      </w:r>
      <w:r w:rsidR="00311E19">
        <w:rPr>
          <w:rStyle w:val="nrmar"/>
          <w:rFonts w:ascii="Arial" w:hAnsi="Arial" w:cs="Arial"/>
          <w:color w:val="000000"/>
          <w:shd w:val="clear" w:color="auto" w:fill="FFFFFF"/>
        </w:rPr>
        <w:t xml:space="preserve">y concretamente, la planificación del desarrollo y ordenamiento territorial, es una de las principales competencias </w:t>
      </w:r>
      <w:r w:rsidR="002E12DC">
        <w:rPr>
          <w:rStyle w:val="nrmar"/>
          <w:rFonts w:ascii="Arial" w:hAnsi="Arial" w:cs="Arial"/>
          <w:color w:val="000000"/>
          <w:shd w:val="clear" w:color="auto" w:fill="FFFFFF"/>
        </w:rPr>
        <w:t xml:space="preserve">que tienen los GAD; particularmente, los GAD provinciales, en virtud del artículo 263.1 de la Constitución y el artículo </w:t>
      </w:r>
      <w:r w:rsidR="00E61582">
        <w:rPr>
          <w:rStyle w:val="nrmar"/>
          <w:rFonts w:ascii="Arial" w:hAnsi="Arial" w:cs="Arial"/>
          <w:color w:val="000000"/>
          <w:shd w:val="clear" w:color="auto" w:fill="FFFFFF"/>
        </w:rPr>
        <w:t>42 letra a) del COOTAD.</w:t>
      </w:r>
    </w:p>
    <w:p w14:paraId="4E2677DE" w14:textId="56DFB37A" w:rsidR="00E61582" w:rsidRDefault="00996B44" w:rsidP="00723B1F">
      <w:pPr>
        <w:rPr>
          <w:rStyle w:val="nrmar"/>
          <w:rFonts w:ascii="Arial" w:hAnsi="Arial" w:cs="Arial"/>
          <w:color w:val="000000"/>
          <w:shd w:val="clear" w:color="auto" w:fill="FFFFFF"/>
        </w:rPr>
      </w:pPr>
      <w:r>
        <w:rPr>
          <w:rStyle w:val="nrmar"/>
          <w:rFonts w:ascii="Arial" w:hAnsi="Arial" w:cs="Arial"/>
          <w:color w:val="000000"/>
          <w:shd w:val="clear" w:color="auto" w:fill="FFFFFF"/>
        </w:rPr>
        <w:t xml:space="preserve">En este orden de cosas, en el año 2016 entró en vigor la LOOTUGS que es una norma </w:t>
      </w:r>
      <w:r w:rsidR="00C757B4">
        <w:rPr>
          <w:rStyle w:val="nrmar"/>
          <w:rFonts w:ascii="Arial" w:hAnsi="Arial" w:cs="Arial"/>
          <w:color w:val="000000"/>
          <w:shd w:val="clear" w:color="auto" w:fill="FFFFFF"/>
        </w:rPr>
        <w:t>que desarrolla el ejercicio de la competencia de ordenamiento territorial, uso y gestión del suelo para los GADS</w:t>
      </w:r>
      <w:r w:rsidR="00EE2DB2">
        <w:rPr>
          <w:rStyle w:val="nrmar"/>
          <w:rFonts w:ascii="Arial" w:hAnsi="Arial" w:cs="Arial"/>
          <w:color w:val="000000"/>
          <w:shd w:val="clear" w:color="auto" w:fill="FFFFFF"/>
        </w:rPr>
        <w:t xml:space="preserve"> </w:t>
      </w:r>
      <w:r w:rsidR="00EE2DB2" w:rsidRPr="00EE2DB2">
        <w:rPr>
          <w:rStyle w:val="nrmar"/>
          <w:rFonts w:ascii="Arial" w:hAnsi="Arial" w:cs="Arial"/>
          <w:color w:val="000000"/>
          <w:shd w:val="clear" w:color="auto" w:fill="FFFFFF"/>
        </w:rPr>
        <w:sym w:font="Wingdings" w:char="F0E0"/>
      </w:r>
      <w:r w:rsidR="00EE2DB2">
        <w:rPr>
          <w:rStyle w:val="nrmar"/>
          <w:rFonts w:ascii="Arial" w:hAnsi="Arial" w:cs="Arial"/>
          <w:color w:val="000000"/>
          <w:shd w:val="clear" w:color="auto" w:fill="FFFFFF"/>
        </w:rPr>
        <w:t xml:space="preserve"> esta norma contempla que los GADS deben adecuar sus planes de desarrollo y ordenamiento territorial</w:t>
      </w:r>
      <w:r w:rsidR="00CC5058">
        <w:rPr>
          <w:rStyle w:val="nrmar"/>
          <w:rFonts w:ascii="Arial" w:hAnsi="Arial" w:cs="Arial"/>
          <w:color w:val="000000"/>
          <w:shd w:val="clear" w:color="auto" w:fill="FFFFFF"/>
        </w:rPr>
        <w:t xml:space="preserve"> y las ordenanzas aplicables, conforme las disposiciones de dicho cuerpo normativo.</w:t>
      </w:r>
    </w:p>
    <w:p w14:paraId="5EF53EE3" w14:textId="758057A4" w:rsidR="00CC5058" w:rsidRDefault="005C5DDD" w:rsidP="00723B1F">
      <w:pPr>
        <w:rPr>
          <w:rStyle w:val="nrmar"/>
          <w:rFonts w:ascii="Arial" w:hAnsi="Arial" w:cs="Arial"/>
          <w:color w:val="000000"/>
          <w:shd w:val="clear" w:color="auto" w:fill="FFFFFF"/>
        </w:rPr>
      </w:pPr>
      <w:r>
        <w:rPr>
          <w:rStyle w:val="nrmar"/>
          <w:rFonts w:ascii="Arial" w:hAnsi="Arial" w:cs="Arial"/>
          <w:color w:val="000000"/>
          <w:shd w:val="clear" w:color="auto" w:fill="FFFFFF"/>
        </w:rPr>
        <w:t>Lo que sucede en el intermedio</w:t>
      </w:r>
      <w:r w:rsidR="000C5669">
        <w:rPr>
          <w:rStyle w:val="nrmar"/>
          <w:rFonts w:ascii="Arial" w:hAnsi="Arial" w:cs="Arial"/>
          <w:color w:val="000000"/>
          <w:shd w:val="clear" w:color="auto" w:fill="FFFFFF"/>
        </w:rPr>
        <w:t>, conocido por todos, es la llegada de la pandemia del Covid19 que trastocó todos los planes, en general de la ciudadanía y la administración, y en particular, de la gestión de gobierno.</w:t>
      </w:r>
    </w:p>
    <w:p w14:paraId="57AF1F0B" w14:textId="0EC0B9DE" w:rsidR="000C5669" w:rsidRDefault="00A94287" w:rsidP="00723B1F">
      <w:pPr>
        <w:rPr>
          <w:rStyle w:val="nrmar"/>
          <w:rFonts w:ascii="Arial" w:hAnsi="Arial" w:cs="Arial"/>
          <w:color w:val="000000"/>
          <w:shd w:val="clear" w:color="auto" w:fill="FFFFFF"/>
        </w:rPr>
      </w:pPr>
      <w:r>
        <w:rPr>
          <w:rStyle w:val="nrmar"/>
          <w:rFonts w:ascii="Arial" w:hAnsi="Arial" w:cs="Arial"/>
          <w:color w:val="000000"/>
          <w:shd w:val="clear" w:color="auto" w:fill="FFFFFF"/>
        </w:rPr>
        <w:t xml:space="preserve">La Ley Orgánica </w:t>
      </w:r>
      <w:r w:rsidR="00983850">
        <w:rPr>
          <w:rStyle w:val="nrmar"/>
          <w:rFonts w:ascii="Arial" w:hAnsi="Arial" w:cs="Arial"/>
          <w:color w:val="000000"/>
          <w:shd w:val="clear" w:color="auto" w:fill="FFFFFF"/>
        </w:rPr>
        <w:t>para el Ordenamiento de las Finanzas Públicas modificó la disposición transitoria quinta de la LOOTUGS a fin de que la adecuación de los planes de desarrollo y ordenamiento territorial y las</w:t>
      </w:r>
      <w:r w:rsidR="0025150D">
        <w:rPr>
          <w:rStyle w:val="nrmar"/>
          <w:rFonts w:ascii="Arial" w:hAnsi="Arial" w:cs="Arial"/>
          <w:color w:val="000000"/>
          <w:shd w:val="clear" w:color="auto" w:fill="FFFFFF"/>
        </w:rPr>
        <w:t xml:space="preserve"> </w:t>
      </w:r>
      <w:r w:rsidR="00983850">
        <w:rPr>
          <w:rStyle w:val="nrmar"/>
          <w:rFonts w:ascii="Arial" w:hAnsi="Arial" w:cs="Arial"/>
          <w:color w:val="000000"/>
          <w:shd w:val="clear" w:color="auto" w:fill="FFFFFF"/>
        </w:rPr>
        <w:t xml:space="preserve">ordenanzas respectivas se </w:t>
      </w:r>
      <w:r w:rsidR="0025150D">
        <w:rPr>
          <w:rStyle w:val="nrmar"/>
          <w:rFonts w:ascii="Arial" w:hAnsi="Arial" w:cs="Arial"/>
          <w:color w:val="000000"/>
          <w:shd w:val="clear" w:color="auto" w:fill="FFFFFF"/>
        </w:rPr>
        <w:t xml:space="preserve">adecuen </w:t>
      </w:r>
      <w:r w:rsidR="00863F65">
        <w:rPr>
          <w:rStyle w:val="nrmar"/>
          <w:rFonts w:ascii="Arial" w:hAnsi="Arial" w:cs="Arial"/>
          <w:color w:val="000000"/>
          <w:shd w:val="clear" w:color="auto" w:fill="FFFFFF"/>
        </w:rPr>
        <w:t xml:space="preserve">en el plazo de un año contado desde concluido el estado de excepción </w:t>
      </w:r>
      <w:r w:rsidR="00446574">
        <w:rPr>
          <w:rStyle w:val="nrmar"/>
          <w:rFonts w:ascii="Arial" w:hAnsi="Arial" w:cs="Arial"/>
          <w:color w:val="000000"/>
          <w:shd w:val="clear" w:color="auto" w:fill="FFFFFF"/>
        </w:rPr>
        <w:t xml:space="preserve">decretado por la pandemia del COVID19; y aquí surgió un inconveniente que muy correctamente lo plantea el proyecto de ley reformatoria que se discute: </w:t>
      </w:r>
      <w:r w:rsidR="003140BC">
        <w:rPr>
          <w:rStyle w:val="nrmar"/>
          <w:rFonts w:ascii="Arial" w:hAnsi="Arial" w:cs="Arial"/>
          <w:color w:val="000000"/>
          <w:shd w:val="clear" w:color="auto" w:fill="FFFFFF"/>
        </w:rPr>
        <w:t xml:space="preserve">se dictaron varios estados de excepción en el contexto de la pandemia, unos generales, unos focalizados, que pueden provocar cierta incertidumbre o inseguridad jurídica para la aplicación de la disposición transitoria quinta, por lo que </w:t>
      </w:r>
      <w:r w:rsidR="00323E83">
        <w:rPr>
          <w:rStyle w:val="nrmar"/>
          <w:rFonts w:ascii="Arial" w:hAnsi="Arial" w:cs="Arial"/>
          <w:color w:val="000000"/>
          <w:shd w:val="clear" w:color="auto" w:fill="FFFFFF"/>
        </w:rPr>
        <w:t>es necesario reformarla con la finalidad de aclararla.</w:t>
      </w:r>
    </w:p>
    <w:p w14:paraId="12A72A0E" w14:textId="64855EFB" w:rsidR="002131F4" w:rsidRDefault="002131F4" w:rsidP="00723B1F">
      <w:pPr>
        <w:rPr>
          <w:rStyle w:val="nrmar"/>
          <w:rFonts w:ascii="Arial" w:hAnsi="Arial" w:cs="Arial"/>
          <w:color w:val="000000"/>
          <w:shd w:val="clear" w:color="auto" w:fill="FFFFFF"/>
        </w:rPr>
      </w:pPr>
      <w:r>
        <w:rPr>
          <w:rStyle w:val="nrmar"/>
          <w:rFonts w:ascii="Arial" w:hAnsi="Arial" w:cs="Arial"/>
          <w:color w:val="000000"/>
          <w:shd w:val="clear" w:color="auto" w:fill="FFFFFF"/>
        </w:rPr>
        <w:t>En virtud de lo expuesto, podemos llegar a las siguientes conclusiones:</w:t>
      </w:r>
    </w:p>
    <w:p w14:paraId="6B99A975" w14:textId="2BA574D4" w:rsidR="002131F4" w:rsidRDefault="00FA6FCC" w:rsidP="002131F4">
      <w:pPr>
        <w:pStyle w:val="Prrafodelista"/>
        <w:numPr>
          <w:ilvl w:val="0"/>
          <w:numId w:val="2"/>
        </w:numPr>
        <w:rPr>
          <w:rStyle w:val="nrmar"/>
          <w:rFonts w:ascii="Arial" w:hAnsi="Arial" w:cs="Arial"/>
          <w:color w:val="000000"/>
          <w:shd w:val="clear" w:color="auto" w:fill="FFFFFF"/>
        </w:rPr>
      </w:pPr>
      <w:r>
        <w:rPr>
          <w:rStyle w:val="nrmar"/>
          <w:rFonts w:ascii="Arial" w:hAnsi="Arial" w:cs="Arial"/>
          <w:color w:val="000000"/>
          <w:shd w:val="clear" w:color="auto" w:fill="FFFFFF"/>
        </w:rPr>
        <w:t xml:space="preserve">La reforma es positiva porque busca brindar seguridad jurídica en torno a la adecuación de los planes de desarrollo y ordenamiento territorial y las ordenanzas aplicables por parte de los GADs, lo cual contribuye </w:t>
      </w:r>
      <w:r w:rsidR="00E96576">
        <w:rPr>
          <w:rStyle w:val="nrmar"/>
          <w:rFonts w:ascii="Arial" w:hAnsi="Arial" w:cs="Arial"/>
          <w:color w:val="000000"/>
          <w:shd w:val="clear" w:color="auto" w:fill="FFFFFF"/>
        </w:rPr>
        <w:t>de manera positiva a su planificación.</w:t>
      </w:r>
    </w:p>
    <w:p w14:paraId="057FC0D6" w14:textId="77777777" w:rsidR="002122A4" w:rsidRDefault="002122A4" w:rsidP="002122A4">
      <w:pPr>
        <w:pStyle w:val="Prrafodelista"/>
        <w:rPr>
          <w:rStyle w:val="nrmar"/>
          <w:rFonts w:ascii="Arial" w:hAnsi="Arial" w:cs="Arial"/>
          <w:color w:val="000000"/>
          <w:shd w:val="clear" w:color="auto" w:fill="FFFFFF"/>
        </w:rPr>
      </w:pPr>
    </w:p>
    <w:p w14:paraId="1DB16CD7" w14:textId="2D093803" w:rsidR="00B6433D" w:rsidRDefault="001643BE" w:rsidP="00B6433D">
      <w:pPr>
        <w:pStyle w:val="Prrafodelista"/>
        <w:numPr>
          <w:ilvl w:val="1"/>
          <w:numId w:val="2"/>
        </w:numPr>
        <w:rPr>
          <w:rStyle w:val="nrmar"/>
          <w:rFonts w:ascii="Arial" w:hAnsi="Arial" w:cs="Arial"/>
          <w:color w:val="000000"/>
          <w:shd w:val="clear" w:color="auto" w:fill="FFFFFF"/>
        </w:rPr>
      </w:pPr>
      <w:r>
        <w:rPr>
          <w:rStyle w:val="nrmar"/>
          <w:rFonts w:ascii="Arial" w:hAnsi="Arial" w:cs="Arial"/>
          <w:color w:val="000000"/>
          <w:shd w:val="clear" w:color="auto" w:fill="FFFFFF"/>
        </w:rPr>
        <w:t>Aquí podríamos realizar una sugerencia: ¿cuál es el estado de excepción que se debe considerar para contabilizar el plazo de dos años</w:t>
      </w:r>
      <w:r w:rsidR="00742AC6">
        <w:rPr>
          <w:rStyle w:val="nrmar"/>
          <w:rFonts w:ascii="Arial" w:hAnsi="Arial" w:cs="Arial"/>
          <w:color w:val="000000"/>
          <w:shd w:val="clear" w:color="auto" w:fill="FFFFFF"/>
        </w:rPr>
        <w:t xml:space="preserve"> que establece esta disposición? Porque, si bien se aumenta el plazo, el inicio de la contabilización del mismo no se modifica</w:t>
      </w:r>
      <w:r w:rsidR="005B22F1">
        <w:rPr>
          <w:rStyle w:val="nrmar"/>
          <w:rFonts w:ascii="Arial" w:hAnsi="Arial" w:cs="Arial"/>
          <w:color w:val="000000"/>
          <w:shd w:val="clear" w:color="auto" w:fill="FFFFFF"/>
        </w:rPr>
        <w:t xml:space="preserve"> y se debe considerar que decretaron diferentes estados de excepción</w:t>
      </w:r>
      <w:r w:rsidR="007C380C">
        <w:rPr>
          <w:rStyle w:val="nrmar"/>
          <w:rFonts w:ascii="Arial" w:hAnsi="Arial" w:cs="Arial"/>
          <w:color w:val="000000"/>
          <w:shd w:val="clear" w:color="auto" w:fill="FFFFFF"/>
        </w:rPr>
        <w:t>, incluso después de la entrada en vigor de la última reforma. El más reciente estado de excepción se decretó en agosto de 2021</w:t>
      </w:r>
      <w:r w:rsidR="00060E95">
        <w:rPr>
          <w:rStyle w:val="nrmar"/>
          <w:rFonts w:ascii="Arial" w:hAnsi="Arial" w:cs="Arial"/>
          <w:color w:val="000000"/>
          <w:shd w:val="clear" w:color="auto" w:fill="FFFFFF"/>
        </w:rPr>
        <w:t xml:space="preserve">. La existencia de diferentes estados de excepción puede provocar incertidumbres sobre el momento en el cual se debe iniciar a contabilizar el plazo de dos </w:t>
      </w:r>
      <w:r w:rsidR="00060E95">
        <w:rPr>
          <w:rStyle w:val="nrmar"/>
          <w:rFonts w:ascii="Arial" w:hAnsi="Arial" w:cs="Arial"/>
          <w:color w:val="000000"/>
          <w:shd w:val="clear" w:color="auto" w:fill="FFFFFF"/>
        </w:rPr>
        <w:lastRenderedPageBreak/>
        <w:t>años para la adecuación de los planes de desarrollo y normas pertinentes.</w:t>
      </w:r>
      <w:r w:rsidR="004D6C21">
        <w:rPr>
          <w:rStyle w:val="nrmar"/>
          <w:rFonts w:ascii="Arial" w:hAnsi="Arial" w:cs="Arial"/>
          <w:color w:val="000000"/>
          <w:shd w:val="clear" w:color="auto" w:fill="FFFFFF"/>
        </w:rPr>
        <w:t xml:space="preserve"> </w:t>
      </w:r>
      <w:r w:rsidR="004D6C21" w:rsidRPr="004D6C21">
        <w:rPr>
          <w:rStyle w:val="nrmar"/>
          <w:rFonts w:ascii="Arial" w:hAnsi="Arial" w:cs="Arial"/>
          <w:color w:val="000000"/>
          <w:shd w:val="clear" w:color="auto" w:fill="FFFFFF"/>
        </w:rPr>
        <w:sym w:font="Wingdings" w:char="F0E0"/>
      </w:r>
      <w:r w:rsidR="004D6C21">
        <w:rPr>
          <w:rStyle w:val="nrmar"/>
          <w:rFonts w:ascii="Arial" w:hAnsi="Arial" w:cs="Arial"/>
          <w:color w:val="000000"/>
          <w:shd w:val="clear" w:color="auto" w:fill="FFFFFF"/>
        </w:rPr>
        <w:t xml:space="preserve"> es por ello que recomendamos aclarar todavía más este particular, mencionando concretamente cuál es el estado de excepción que se debe considerar para contabilizar el plazo o, </w:t>
      </w:r>
      <w:r w:rsidR="00396E72">
        <w:rPr>
          <w:rStyle w:val="nrmar"/>
          <w:rFonts w:ascii="Arial" w:hAnsi="Arial" w:cs="Arial"/>
          <w:color w:val="000000"/>
          <w:shd w:val="clear" w:color="auto" w:fill="FFFFFF"/>
        </w:rPr>
        <w:t xml:space="preserve">incluso, se puede considerar colocar una fecha </w:t>
      </w:r>
      <w:r w:rsidR="00FE139A">
        <w:rPr>
          <w:rStyle w:val="nrmar"/>
          <w:rFonts w:ascii="Arial" w:hAnsi="Arial" w:cs="Arial"/>
          <w:color w:val="000000"/>
          <w:shd w:val="clear" w:color="auto" w:fill="FFFFFF"/>
        </w:rPr>
        <w:t>o momento específico para esto.</w:t>
      </w:r>
    </w:p>
    <w:p w14:paraId="55B697AA" w14:textId="58E54706" w:rsidR="00FE139A" w:rsidRDefault="00FE139A" w:rsidP="00FE139A">
      <w:pPr>
        <w:pStyle w:val="Prrafodelista"/>
        <w:ind w:left="1440"/>
        <w:rPr>
          <w:rStyle w:val="nrmar"/>
          <w:rFonts w:ascii="Arial" w:hAnsi="Arial" w:cs="Arial"/>
          <w:color w:val="000000"/>
          <w:shd w:val="clear" w:color="auto" w:fill="FFFFFF"/>
        </w:rPr>
      </w:pPr>
    </w:p>
    <w:p w14:paraId="6EE28B17" w14:textId="1105E8D3" w:rsidR="00FE139A" w:rsidRDefault="00FE139A" w:rsidP="00FE139A">
      <w:pPr>
        <w:pStyle w:val="Prrafodelista"/>
        <w:ind w:left="1440"/>
        <w:rPr>
          <w:rStyle w:val="nrmar"/>
          <w:rFonts w:ascii="Arial" w:hAnsi="Arial" w:cs="Arial"/>
          <w:color w:val="000000"/>
          <w:shd w:val="clear" w:color="auto" w:fill="FFFFFF"/>
        </w:rPr>
      </w:pPr>
      <w:r>
        <w:rPr>
          <w:rStyle w:val="nrmar"/>
          <w:rFonts w:ascii="Arial" w:hAnsi="Arial" w:cs="Arial"/>
          <w:color w:val="000000"/>
          <w:shd w:val="clear" w:color="auto" w:fill="FFFFFF"/>
        </w:rPr>
        <w:t>De esta forma brindamos completa seguridad jurídica a los GADS para su planificación y evitamos que</w:t>
      </w:r>
      <w:r w:rsidR="00AD0AED">
        <w:rPr>
          <w:rStyle w:val="nrmar"/>
          <w:rFonts w:ascii="Arial" w:hAnsi="Arial" w:cs="Arial"/>
          <w:color w:val="000000"/>
          <w:shd w:val="clear" w:color="auto" w:fill="FFFFFF"/>
        </w:rPr>
        <w:t xml:space="preserve"> se generen consultas a la PGE, dudas, incertidumbre que pueda trastocar los planes de desarrollo-.</w:t>
      </w:r>
    </w:p>
    <w:p w14:paraId="2AC1ACA3" w14:textId="6308B5B7" w:rsidR="00AD0AED" w:rsidRDefault="00AD0AED" w:rsidP="00FE139A">
      <w:pPr>
        <w:pStyle w:val="Prrafodelista"/>
        <w:ind w:left="1440"/>
        <w:rPr>
          <w:rStyle w:val="nrmar"/>
          <w:rFonts w:ascii="Arial" w:hAnsi="Arial" w:cs="Arial"/>
          <w:color w:val="000000"/>
          <w:shd w:val="clear" w:color="auto" w:fill="FFFFFF"/>
        </w:rPr>
      </w:pPr>
    </w:p>
    <w:p w14:paraId="3F3636C8" w14:textId="6E8B4365" w:rsidR="00AD0AED" w:rsidRDefault="00906AA1" w:rsidP="00AD0AED">
      <w:pPr>
        <w:pStyle w:val="Prrafodelista"/>
        <w:numPr>
          <w:ilvl w:val="0"/>
          <w:numId w:val="2"/>
        </w:numPr>
        <w:rPr>
          <w:rStyle w:val="nrmar"/>
          <w:rFonts w:ascii="Arial" w:hAnsi="Arial" w:cs="Arial"/>
          <w:color w:val="000000"/>
          <w:shd w:val="clear" w:color="auto" w:fill="FFFFFF"/>
        </w:rPr>
      </w:pPr>
      <w:r>
        <w:rPr>
          <w:rStyle w:val="nrmar"/>
          <w:rFonts w:ascii="Arial" w:hAnsi="Arial" w:cs="Arial"/>
          <w:color w:val="000000"/>
          <w:shd w:val="clear" w:color="auto" w:fill="FFFFFF"/>
        </w:rPr>
        <w:t>La segunda conclusión es que la LOOTUGS es importante para el ejercicio de la competencia de ordenamiento territorial de los GADs, motivo por el cual, no debe considerarse</w:t>
      </w:r>
      <w:r w:rsidR="005C545C">
        <w:rPr>
          <w:rStyle w:val="nrmar"/>
          <w:rFonts w:ascii="Arial" w:hAnsi="Arial" w:cs="Arial"/>
          <w:color w:val="000000"/>
          <w:shd w:val="clear" w:color="auto" w:fill="FFFFFF"/>
        </w:rPr>
        <w:t xml:space="preserve"> su derogatoria en lo absoluto.</w:t>
      </w:r>
    </w:p>
    <w:p w14:paraId="6BDC5D63" w14:textId="77777777" w:rsidR="005C545C" w:rsidRDefault="005C545C" w:rsidP="005C545C">
      <w:pPr>
        <w:pStyle w:val="Prrafodelista"/>
        <w:rPr>
          <w:rStyle w:val="nrmar"/>
          <w:rFonts w:ascii="Arial" w:hAnsi="Arial" w:cs="Arial"/>
          <w:color w:val="000000"/>
          <w:shd w:val="clear" w:color="auto" w:fill="FFFFFF"/>
        </w:rPr>
      </w:pPr>
    </w:p>
    <w:p w14:paraId="3BD9C8D0" w14:textId="7BF32A8C" w:rsidR="005C545C" w:rsidRDefault="005C545C" w:rsidP="00AD0AED">
      <w:pPr>
        <w:pStyle w:val="Prrafodelista"/>
        <w:numPr>
          <w:ilvl w:val="0"/>
          <w:numId w:val="2"/>
        </w:numPr>
        <w:rPr>
          <w:rStyle w:val="nrmar"/>
          <w:rFonts w:ascii="Arial" w:hAnsi="Arial" w:cs="Arial"/>
          <w:color w:val="000000"/>
          <w:shd w:val="clear" w:color="auto" w:fill="FFFFFF"/>
        </w:rPr>
      </w:pPr>
      <w:r>
        <w:rPr>
          <w:rStyle w:val="nrmar"/>
          <w:rFonts w:ascii="Arial" w:hAnsi="Arial" w:cs="Arial"/>
          <w:color w:val="000000"/>
          <w:shd w:val="clear" w:color="auto" w:fill="FFFFFF"/>
        </w:rPr>
        <w:t>Consideramos que tampoco se debe</w:t>
      </w:r>
      <w:r w:rsidR="00866981">
        <w:rPr>
          <w:rStyle w:val="nrmar"/>
          <w:rFonts w:ascii="Arial" w:hAnsi="Arial" w:cs="Arial"/>
          <w:color w:val="000000"/>
          <w:shd w:val="clear" w:color="auto" w:fill="FFFFFF"/>
        </w:rPr>
        <w:t xml:space="preserve">ría plantear la </w:t>
      </w:r>
      <w:r w:rsidR="00E3749F">
        <w:rPr>
          <w:rStyle w:val="nrmar"/>
          <w:rFonts w:ascii="Arial" w:hAnsi="Arial" w:cs="Arial"/>
          <w:color w:val="000000"/>
          <w:shd w:val="clear" w:color="auto" w:fill="FFFFFF"/>
        </w:rPr>
        <w:t xml:space="preserve">concentración de este cuerpo normativo con otro, particularmente con el COOTAD. Recordemos que el COOTAD </w:t>
      </w:r>
      <w:r w:rsidR="0082497B">
        <w:rPr>
          <w:rStyle w:val="nrmar"/>
          <w:rFonts w:ascii="Arial" w:hAnsi="Arial" w:cs="Arial"/>
          <w:color w:val="000000"/>
          <w:shd w:val="clear" w:color="auto" w:fill="FFFFFF"/>
        </w:rPr>
        <w:t>es la norma que desarrolla en general todas las competencias de todos los GADS y la LOOTUGS desarrolla en particular, la competencia de ordenamiento territorial uso y gestión del suelo, elemento importantísimos para la planificación y desarrollo de las zonas urbanas y rurales</w:t>
      </w:r>
      <w:r w:rsidR="003E0228">
        <w:rPr>
          <w:rStyle w:val="nrmar"/>
          <w:rFonts w:ascii="Arial" w:hAnsi="Arial" w:cs="Arial"/>
          <w:color w:val="000000"/>
          <w:shd w:val="clear" w:color="auto" w:fill="FFFFFF"/>
        </w:rPr>
        <w:t>.</w:t>
      </w:r>
    </w:p>
    <w:p w14:paraId="2C5E659A" w14:textId="77777777" w:rsidR="00100EE4" w:rsidRPr="00100EE4" w:rsidRDefault="00100EE4" w:rsidP="00100EE4">
      <w:pPr>
        <w:pStyle w:val="Prrafodelista"/>
        <w:rPr>
          <w:rStyle w:val="nrmar"/>
          <w:rFonts w:ascii="Arial" w:hAnsi="Arial" w:cs="Arial"/>
          <w:color w:val="000000"/>
          <w:shd w:val="clear" w:color="auto" w:fill="FFFFFF"/>
        </w:rPr>
      </w:pPr>
    </w:p>
    <w:p w14:paraId="59C3D3FB" w14:textId="24387560" w:rsidR="00314160" w:rsidRDefault="009109E8">
      <w:pPr>
        <w:rPr>
          <w:rStyle w:val="nrmar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rmar"/>
          <w:rFonts w:ascii="Arial" w:hAnsi="Arial" w:cs="Arial"/>
          <w:color w:val="000000"/>
          <w:shd w:val="clear" w:color="auto" w:fill="FFFFFF"/>
        </w:rPr>
        <w:t>Esperamos que nuestros aportes sean de utilidad para el tratamiento de esta reforma</w:t>
      </w:r>
    </w:p>
    <w:p w14:paraId="7643CA73" w14:textId="21BA9930" w:rsidR="00314160" w:rsidRDefault="00314160">
      <w:pPr>
        <w:rPr>
          <w:rStyle w:val="nrmar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rmar"/>
          <w:rFonts w:ascii="Arial" w:hAnsi="Arial" w:cs="Arial"/>
          <w:b/>
          <w:bCs/>
          <w:color w:val="000000"/>
          <w:shd w:val="clear" w:color="auto" w:fill="FFFFFF"/>
        </w:rPr>
        <w:br w:type="page"/>
      </w:r>
    </w:p>
    <w:p w14:paraId="0E938036" w14:textId="77777777" w:rsidR="00314160" w:rsidRDefault="00314160">
      <w:pPr>
        <w:rPr>
          <w:rStyle w:val="nrmar"/>
          <w:rFonts w:ascii="Arial" w:hAnsi="Arial" w:cs="Arial"/>
          <w:b/>
          <w:bCs/>
          <w:color w:val="000000"/>
          <w:shd w:val="clear" w:color="auto" w:fill="FFFFFF"/>
        </w:rPr>
      </w:pPr>
    </w:p>
    <w:p w14:paraId="1AAE9F7B" w14:textId="32B3D060" w:rsidR="002B7694" w:rsidRDefault="009C2D5E" w:rsidP="009C2D5E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nrmar"/>
          <w:rFonts w:ascii="Arial" w:hAnsi="Arial" w:cs="Arial"/>
          <w:b/>
          <w:bCs/>
          <w:color w:val="000000"/>
          <w:shd w:val="clear" w:color="auto" w:fill="FFFFFF"/>
        </w:rPr>
        <w:t>Art. 263</w:t>
      </w:r>
      <w:r>
        <w:rPr>
          <w:rFonts w:ascii="Arial" w:hAnsi="Arial" w:cs="Arial"/>
          <w:color w:val="000000"/>
          <w:shd w:val="clear" w:color="auto" w:fill="FFFFFF"/>
        </w:rPr>
        <w:t>.- Los gobiernos provinciales tendrán las siguientes competencias exclusivas, sin perjuicio de las otras que determine la ley: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Planificar el desarrollo provincial y formular los correspondientes planes de ordenamiento territorial, de manera articulada con la planificación nacional, regional, cantonal y parroquial.</w:t>
      </w:r>
    </w:p>
    <w:p w14:paraId="61052052" w14:textId="77777777" w:rsidR="009C2D5E" w:rsidRPr="009C2D5E" w:rsidRDefault="009C2D5E" w:rsidP="009C2D5E"/>
    <w:sectPr w:rsidR="009C2D5E" w:rsidRPr="009C2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760"/>
    <w:multiLevelType w:val="hybridMultilevel"/>
    <w:tmpl w:val="0E7E5ECE"/>
    <w:lvl w:ilvl="0" w:tplc="1D5487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67DFE"/>
    <w:multiLevelType w:val="hybridMultilevel"/>
    <w:tmpl w:val="BC28CAEE"/>
    <w:lvl w:ilvl="0" w:tplc="34120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5E"/>
    <w:rsid w:val="00060E95"/>
    <w:rsid w:val="000C5669"/>
    <w:rsid w:val="00100EE4"/>
    <w:rsid w:val="001643BE"/>
    <w:rsid w:val="002122A4"/>
    <w:rsid w:val="002131F4"/>
    <w:rsid w:val="0025150D"/>
    <w:rsid w:val="002A44CA"/>
    <w:rsid w:val="002B7694"/>
    <w:rsid w:val="002E12DC"/>
    <w:rsid w:val="00311E19"/>
    <w:rsid w:val="003140BC"/>
    <w:rsid w:val="00314160"/>
    <w:rsid w:val="00323E83"/>
    <w:rsid w:val="00396E72"/>
    <w:rsid w:val="003E0228"/>
    <w:rsid w:val="00446574"/>
    <w:rsid w:val="004D6C21"/>
    <w:rsid w:val="005B22F1"/>
    <w:rsid w:val="005C545C"/>
    <w:rsid w:val="005C5DDD"/>
    <w:rsid w:val="00633A3B"/>
    <w:rsid w:val="00723B1F"/>
    <w:rsid w:val="00742AC6"/>
    <w:rsid w:val="007A5622"/>
    <w:rsid w:val="007C380C"/>
    <w:rsid w:val="0082497B"/>
    <w:rsid w:val="00863F65"/>
    <w:rsid w:val="00866981"/>
    <w:rsid w:val="00906AA1"/>
    <w:rsid w:val="009109E8"/>
    <w:rsid w:val="0092567A"/>
    <w:rsid w:val="00983850"/>
    <w:rsid w:val="00996B44"/>
    <w:rsid w:val="009C2D5E"/>
    <w:rsid w:val="009E75AB"/>
    <w:rsid w:val="00A94287"/>
    <w:rsid w:val="00AD0AED"/>
    <w:rsid w:val="00B6433D"/>
    <w:rsid w:val="00C757B4"/>
    <w:rsid w:val="00CC5058"/>
    <w:rsid w:val="00CE750E"/>
    <w:rsid w:val="00DF36B4"/>
    <w:rsid w:val="00E3749F"/>
    <w:rsid w:val="00E61582"/>
    <w:rsid w:val="00E96576"/>
    <w:rsid w:val="00EE2DB2"/>
    <w:rsid w:val="00FA6FCC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087A"/>
  <w15:chartTrackingRefBased/>
  <w15:docId w15:val="{8C486055-5D72-4378-A108-9874CB0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rmar">
    <w:name w:val="nrmar"/>
    <w:basedOn w:val="Fuentedeprrafopredeter"/>
    <w:rsid w:val="009C2D5E"/>
  </w:style>
  <w:style w:type="paragraph" w:styleId="Prrafodelista">
    <w:name w:val="List Paragraph"/>
    <w:basedOn w:val="Normal"/>
    <w:uiPriority w:val="34"/>
    <w:qFormat/>
    <w:rsid w:val="00314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Salazar</dc:creator>
  <cp:keywords/>
  <dc:description/>
  <cp:lastModifiedBy>Jaime Salazar</cp:lastModifiedBy>
  <cp:revision>47</cp:revision>
  <dcterms:created xsi:type="dcterms:W3CDTF">2021-11-10T04:56:00Z</dcterms:created>
  <dcterms:modified xsi:type="dcterms:W3CDTF">2021-11-10T14:51:00Z</dcterms:modified>
</cp:coreProperties>
</file>