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11A7" w14:textId="77777777" w:rsidR="00D57475" w:rsidRPr="00D57475" w:rsidRDefault="00D57475" w:rsidP="00D57475">
      <w:pPr>
        <w:rPr>
          <w:rFonts w:ascii="Times New Roman" w:hAnsi="Times New Roman" w:cs="Times New Roman"/>
        </w:rPr>
      </w:pPr>
    </w:p>
    <w:p w14:paraId="25B6002C" w14:textId="77777777" w:rsidR="00D57475" w:rsidRPr="00D57475" w:rsidRDefault="00D57475" w:rsidP="001958D0">
      <w:pPr>
        <w:pStyle w:val="Ttulo2"/>
        <w:numPr>
          <w:ilvl w:val="0"/>
          <w:numId w:val="0"/>
        </w:numPr>
        <w:jc w:val="center"/>
        <w:rPr>
          <w:rFonts w:cs="Times New Roman"/>
          <w:sz w:val="24"/>
          <w:szCs w:val="24"/>
          <w:lang w:val="es-ES"/>
        </w:rPr>
      </w:pPr>
      <w:bookmarkStart w:id="0" w:name="_Toc123296914"/>
      <w:r w:rsidRPr="00D57475">
        <w:rPr>
          <w:rFonts w:cs="Times New Roman"/>
          <w:sz w:val="24"/>
          <w:szCs w:val="24"/>
          <w:lang w:val="es-ES"/>
        </w:rPr>
        <w:t>Proyecto de ley Reformatoria al COOTAD</w:t>
      </w:r>
      <w:bookmarkEnd w:id="0"/>
    </w:p>
    <w:p w14:paraId="52315CEB" w14:textId="77777777" w:rsidR="00D57475" w:rsidRPr="00D57475" w:rsidRDefault="00D57475" w:rsidP="00D57475">
      <w:pPr>
        <w:rPr>
          <w:rFonts w:ascii="Times New Roman" w:hAnsi="Times New Roman" w:cs="Times New Roman"/>
        </w:rPr>
      </w:pPr>
    </w:p>
    <w:p w14:paraId="4AC68168" w14:textId="542A9ADD" w:rsidR="00D57475" w:rsidRPr="00D57475" w:rsidRDefault="00D57475" w:rsidP="00D57475">
      <w:pPr>
        <w:pStyle w:val="Prrafodelista"/>
        <w:numPr>
          <w:ilvl w:val="0"/>
          <w:numId w:val="16"/>
        </w:numPr>
        <w:spacing w:before="120" w:after="84" w:line="276" w:lineRule="auto"/>
        <w:jc w:val="both"/>
        <w:outlineLvl w:val="1"/>
        <w:rPr>
          <w:rFonts w:ascii="Times New Roman" w:eastAsia="Times New Roman" w:hAnsi="Times New Roman" w:cs="Times New Roman"/>
          <w:b/>
          <w:bCs/>
          <w:sz w:val="24"/>
          <w:szCs w:val="24"/>
        </w:rPr>
      </w:pPr>
      <w:bookmarkStart w:id="1" w:name="_Toc123068886"/>
      <w:bookmarkStart w:id="2" w:name="_Toc123235760"/>
      <w:bookmarkStart w:id="3" w:name="_Toc123296915"/>
      <w:r w:rsidRPr="00D57475">
        <w:rPr>
          <w:rFonts w:ascii="Times New Roman" w:eastAsia="Times New Roman" w:hAnsi="Times New Roman" w:cs="Times New Roman"/>
          <w:b/>
          <w:bCs/>
          <w:sz w:val="24"/>
          <w:szCs w:val="24"/>
        </w:rPr>
        <w:t>Exposición de motivos</w:t>
      </w:r>
      <w:bookmarkEnd w:id="1"/>
      <w:bookmarkEnd w:id="2"/>
      <w:bookmarkEnd w:id="3"/>
      <w:r w:rsidR="001958D0">
        <w:rPr>
          <w:rFonts w:ascii="Times New Roman" w:eastAsia="Times New Roman" w:hAnsi="Times New Roman" w:cs="Times New Roman"/>
          <w:b/>
          <w:bCs/>
          <w:sz w:val="24"/>
          <w:szCs w:val="24"/>
        </w:rPr>
        <w:t>:</w:t>
      </w:r>
    </w:p>
    <w:p w14:paraId="3C5F4B0C" w14:textId="77777777" w:rsidR="00D57475" w:rsidRPr="00D57475" w:rsidRDefault="00D57475" w:rsidP="00D57475">
      <w:pPr>
        <w:pStyle w:val="Prrafodelista"/>
        <w:spacing w:before="120" w:after="84" w:line="276" w:lineRule="auto"/>
        <w:ind w:left="360"/>
        <w:jc w:val="both"/>
        <w:outlineLvl w:val="1"/>
        <w:rPr>
          <w:rFonts w:ascii="Times New Roman" w:eastAsia="Times New Roman" w:hAnsi="Times New Roman" w:cs="Times New Roman"/>
          <w:b/>
          <w:bCs/>
          <w:sz w:val="24"/>
          <w:szCs w:val="24"/>
        </w:rPr>
      </w:pPr>
    </w:p>
    <w:p w14:paraId="2ECEE427"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w:hAnsi="Times New Roman" w:cs="Times New Roman"/>
          <w:color w:val="000000"/>
        </w:rPr>
        <w:t>Esta</w:t>
      </w:r>
      <w:r w:rsidRPr="00D57475">
        <w:rPr>
          <w:rFonts w:ascii="Times New Roman" w:eastAsia="Times New Roman" w:hAnsi="Times New Roman" w:cs="Times New Roman"/>
        </w:rPr>
        <w:t xml:space="preserve"> propuesta está estructurada en forma modular, de modo que se compone de 5 módulos, que abarcan la siguiente problemática:</w:t>
      </w:r>
    </w:p>
    <w:p w14:paraId="52136902" w14:textId="77777777" w:rsidR="00D57475" w:rsidRPr="00D57475" w:rsidRDefault="00D57475" w:rsidP="00D57475">
      <w:pPr>
        <w:spacing w:before="120" w:after="84" w:line="276" w:lineRule="auto"/>
        <w:jc w:val="both"/>
        <w:outlineLvl w:val="1"/>
        <w:rPr>
          <w:rFonts w:ascii="Times New Roman" w:eastAsia="Times New Roman" w:hAnsi="Times New Roman" w:cs="Times New Roman"/>
          <w:b/>
          <w:bCs/>
        </w:rPr>
      </w:pPr>
    </w:p>
    <w:p w14:paraId="4DB05E72" w14:textId="0183E3AF" w:rsidR="00D57475" w:rsidRPr="00D57475" w:rsidRDefault="00D57475" w:rsidP="00D57475">
      <w:pPr>
        <w:pStyle w:val="Prrafodelista"/>
        <w:numPr>
          <w:ilvl w:val="1"/>
          <w:numId w:val="21"/>
        </w:numPr>
        <w:tabs>
          <w:tab w:val="left" w:pos="993"/>
        </w:tabs>
        <w:spacing w:before="120" w:after="60" w:line="276" w:lineRule="auto"/>
        <w:jc w:val="both"/>
        <w:outlineLvl w:val="2"/>
        <w:rPr>
          <w:rFonts w:ascii="Times New Roman" w:eastAsia="Times New Roman" w:hAnsi="Times New Roman" w:cs="Times New Roman"/>
          <w:b/>
          <w:bCs/>
          <w:sz w:val="24"/>
          <w:szCs w:val="24"/>
        </w:rPr>
      </w:pPr>
      <w:r w:rsidRPr="00D57475">
        <w:rPr>
          <w:rFonts w:ascii="Times New Roman" w:eastAsia="Times New Roman" w:hAnsi="Times New Roman" w:cs="Times New Roman"/>
          <w:b/>
          <w:bCs/>
          <w:sz w:val="24"/>
          <w:szCs w:val="24"/>
        </w:rPr>
        <w:t xml:space="preserve"> </w:t>
      </w:r>
      <w:bookmarkStart w:id="4" w:name="_Toc123068887"/>
      <w:bookmarkStart w:id="5" w:name="_Toc123235761"/>
      <w:bookmarkStart w:id="6" w:name="_Toc123296916"/>
      <w:r w:rsidRPr="00D57475">
        <w:rPr>
          <w:rFonts w:ascii="Times New Roman" w:eastAsia="Times New Roman" w:hAnsi="Times New Roman" w:cs="Times New Roman"/>
          <w:b/>
          <w:bCs/>
          <w:sz w:val="24"/>
          <w:szCs w:val="24"/>
        </w:rPr>
        <w:t>Presupuesto prorrogado</w:t>
      </w:r>
      <w:bookmarkEnd w:id="4"/>
      <w:bookmarkEnd w:id="5"/>
      <w:bookmarkEnd w:id="6"/>
      <w:r w:rsidR="001958D0">
        <w:rPr>
          <w:rFonts w:ascii="Times New Roman" w:eastAsia="Times New Roman" w:hAnsi="Times New Roman" w:cs="Times New Roman"/>
          <w:b/>
          <w:bCs/>
          <w:sz w:val="24"/>
          <w:szCs w:val="24"/>
        </w:rPr>
        <w:t>:</w:t>
      </w:r>
    </w:p>
    <w:p w14:paraId="02242AC3" w14:textId="77777777" w:rsidR="00D57475" w:rsidRPr="00D57475" w:rsidRDefault="00D57475" w:rsidP="00D57475">
      <w:pPr>
        <w:pStyle w:val="Prrafodelista"/>
        <w:spacing w:before="120" w:after="60" w:line="276" w:lineRule="auto"/>
        <w:ind w:left="360"/>
        <w:jc w:val="both"/>
        <w:outlineLvl w:val="2"/>
        <w:rPr>
          <w:rFonts w:ascii="Times New Roman" w:eastAsia="Times New Roman" w:hAnsi="Times New Roman" w:cs="Times New Roman"/>
          <w:b/>
          <w:bCs/>
          <w:sz w:val="24"/>
          <w:szCs w:val="24"/>
        </w:rPr>
      </w:pPr>
    </w:p>
    <w:p w14:paraId="40892B2B"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w:hAnsi="Times New Roman" w:cs="Times New Roman"/>
          <w:color w:val="000000"/>
        </w:rPr>
      </w:pPr>
      <w:r w:rsidRPr="00D57475">
        <w:rPr>
          <w:rFonts w:ascii="Times New Roman" w:eastAsia="Times" w:hAnsi="Times New Roman" w:cs="Times New Roman"/>
          <w:color w:val="000000"/>
        </w:rPr>
        <w:t xml:space="preserve">Los presupuestos prorrogados fueron incorporados dentro del ordenamiento jurídico ecuatoriano con la promulgación de la Constitución de la República de 1998, misma que es su artículo 258 establecía que, «en el año en que se posesione el </w:t>
      </w:r>
      <w:proofErr w:type="gramStart"/>
      <w:r w:rsidRPr="00D57475">
        <w:rPr>
          <w:rFonts w:ascii="Times New Roman" w:eastAsia="Times" w:hAnsi="Times New Roman" w:cs="Times New Roman"/>
          <w:color w:val="000000"/>
        </w:rPr>
        <w:t>Presidente</w:t>
      </w:r>
      <w:proofErr w:type="gramEnd"/>
      <w:r w:rsidRPr="00D57475">
        <w:rPr>
          <w:rFonts w:ascii="Times New Roman" w:eastAsia="Times" w:hAnsi="Times New Roman" w:cs="Times New Roman"/>
          <w:color w:val="000000"/>
        </w:rPr>
        <w:t xml:space="preserve"> de la República, la proforma deberá ser presentada hasta el 31 de enero y aprobada hasta el 28 de febrero. Entre tanto, regirá el presupuesto del año anterior». </w:t>
      </w:r>
    </w:p>
    <w:p w14:paraId="4D2837F3" w14:textId="77777777" w:rsidR="001958D0" w:rsidRDefault="001958D0" w:rsidP="001958D0">
      <w:pPr>
        <w:pBdr>
          <w:top w:val="nil"/>
          <w:left w:val="nil"/>
          <w:bottom w:val="nil"/>
          <w:right w:val="nil"/>
          <w:between w:val="nil"/>
        </w:pBdr>
        <w:spacing w:before="120" w:line="276" w:lineRule="auto"/>
        <w:jc w:val="both"/>
        <w:rPr>
          <w:rFonts w:ascii="Times New Roman" w:eastAsia="Times" w:hAnsi="Times New Roman" w:cs="Times New Roman"/>
          <w:color w:val="000000"/>
        </w:rPr>
      </w:pPr>
    </w:p>
    <w:p w14:paraId="6949F088" w14:textId="362F3C4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w:hAnsi="Times New Roman" w:cs="Times New Roman"/>
          <w:color w:val="000000"/>
        </w:rPr>
      </w:pPr>
      <w:r w:rsidRPr="00D57475">
        <w:rPr>
          <w:rFonts w:ascii="Times New Roman" w:eastAsia="Times" w:hAnsi="Times New Roman" w:cs="Times New Roman"/>
          <w:color w:val="000000"/>
        </w:rPr>
        <w:t xml:space="preserve">El artículo 295 de la Constitución de 2008 conservó la figura de prórroga de presupuesto en año electoral, pero con una diferencia sustancial: ahora la posesión de las nuevas autoridades ocurre en mayo (14 para autoridades seccionales y asambleístas, y 24 para la </w:t>
      </w:r>
      <w:proofErr w:type="gramStart"/>
      <w:r w:rsidRPr="00D57475">
        <w:rPr>
          <w:rFonts w:ascii="Times New Roman" w:eastAsia="Times" w:hAnsi="Times New Roman" w:cs="Times New Roman"/>
          <w:color w:val="000000"/>
        </w:rPr>
        <w:t>Presidenta</w:t>
      </w:r>
      <w:proofErr w:type="gramEnd"/>
      <w:r w:rsidRPr="00D57475">
        <w:rPr>
          <w:rFonts w:ascii="Times New Roman" w:eastAsia="Times" w:hAnsi="Times New Roman" w:cs="Times New Roman"/>
          <w:color w:val="000000"/>
        </w:rPr>
        <w:t xml:space="preserve"> o Presidente de la República). El efecto es que transcurre el primer semestre del año con el presupuesto prorrogado del año anterior, y la autoridad saliente puede maximizar la ejecución durante los primeros meses del año, en perjuicio del flujo de caja a partir de cuando asume la nueva autoridad.</w:t>
      </w:r>
    </w:p>
    <w:p w14:paraId="0FA94BEA" w14:textId="77777777" w:rsidR="001958D0" w:rsidRDefault="001958D0" w:rsidP="001958D0">
      <w:pPr>
        <w:pStyle w:val="Prrafodelista"/>
        <w:rPr>
          <w:rFonts w:ascii="Times New Roman" w:eastAsia="Times" w:hAnsi="Times New Roman" w:cs="Times New Roman"/>
          <w:color w:val="000000"/>
        </w:rPr>
      </w:pPr>
    </w:p>
    <w:p w14:paraId="549D6F11"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w:hAnsi="Times New Roman" w:cs="Times New Roman"/>
          <w:color w:val="000000"/>
        </w:rPr>
      </w:pPr>
      <w:r w:rsidRPr="00D57475">
        <w:rPr>
          <w:rFonts w:ascii="Times New Roman" w:eastAsia="Times" w:hAnsi="Times New Roman" w:cs="Times New Roman"/>
          <w:color w:val="000000"/>
        </w:rPr>
        <w:t>Mediante dos reformas se modificó el artículo 107 del Código Orgánico de Planificación y Finanzas Públicas, que trata sobre presupuestos prorrogados. Estas reformas precisan cuál presupuesto es el que se prorroga, tanto en el caso del Presupuesto General del Estado, como en el caso de gobiernos autónomos descentralizados, del sistema de educación superior y del sistema de educación intercultural.</w:t>
      </w:r>
    </w:p>
    <w:p w14:paraId="529EB4C3" w14:textId="77777777" w:rsidR="001958D0" w:rsidRDefault="001958D0" w:rsidP="001958D0">
      <w:pPr>
        <w:pStyle w:val="Prrafodelista"/>
        <w:rPr>
          <w:rFonts w:ascii="Times New Roman" w:eastAsia="Times" w:hAnsi="Times New Roman" w:cs="Times New Roman"/>
          <w:color w:val="000000"/>
        </w:rPr>
      </w:pPr>
    </w:p>
    <w:p w14:paraId="36BABAF7" w14:textId="2D898B96"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w:hAnsi="Times New Roman" w:cs="Times New Roman"/>
          <w:color w:val="000000"/>
        </w:rPr>
      </w:pPr>
      <w:r w:rsidRPr="00D57475">
        <w:rPr>
          <w:rFonts w:ascii="Times New Roman" w:eastAsia="Times" w:hAnsi="Times New Roman" w:cs="Times New Roman"/>
          <w:color w:val="000000"/>
        </w:rPr>
        <w:t>En cambio, el artículo 216 del COOTAD, prohíbe sin excepción prorr</w:t>
      </w:r>
      <w:r w:rsidR="001958D0">
        <w:rPr>
          <w:rFonts w:ascii="Times New Roman" w:eastAsia="Times" w:hAnsi="Times New Roman" w:cs="Times New Roman"/>
          <w:color w:val="000000"/>
        </w:rPr>
        <w:t>o</w:t>
      </w:r>
      <w:r w:rsidRPr="00D57475">
        <w:rPr>
          <w:rFonts w:ascii="Times New Roman" w:eastAsia="Times" w:hAnsi="Times New Roman" w:cs="Times New Roman"/>
          <w:color w:val="000000"/>
        </w:rPr>
        <w:t>gar el presupuesto. Hay entonces una contradicción entre dos normas contenidas en Códigos orgánicos. Es necesaria una reforma para resolver esta contradicción normativa.</w:t>
      </w:r>
    </w:p>
    <w:p w14:paraId="3029E592" w14:textId="77777777" w:rsidR="001958D0" w:rsidRDefault="001958D0" w:rsidP="001958D0">
      <w:pPr>
        <w:pStyle w:val="Prrafodelista"/>
        <w:rPr>
          <w:rFonts w:ascii="Times New Roman" w:eastAsia="Times" w:hAnsi="Times New Roman" w:cs="Times New Roman"/>
          <w:color w:val="000000"/>
        </w:rPr>
      </w:pPr>
    </w:p>
    <w:p w14:paraId="34A35CC3"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w:hAnsi="Times New Roman" w:cs="Times New Roman"/>
          <w:color w:val="000000"/>
        </w:rPr>
      </w:pPr>
      <w:r w:rsidRPr="00D57475">
        <w:rPr>
          <w:rFonts w:ascii="Times New Roman" w:eastAsia="Times" w:hAnsi="Times New Roman" w:cs="Times New Roman"/>
          <w:color w:val="000000"/>
        </w:rPr>
        <w:t>Por otro lado, el COOTAD en sus artículos 235 a 247 establece fechas máximas para la presentación de la proforma presupuestaria para el siguiente ejercicio presupuestario, pero no existen plazos para las etapas de la formulación del presupuesto cuando éste corresponde al año de elección democrática de la autoridad seccional.</w:t>
      </w:r>
    </w:p>
    <w:p w14:paraId="7A2A862B" w14:textId="77777777" w:rsidR="00D57475" w:rsidRPr="00D57475" w:rsidRDefault="00D57475" w:rsidP="00D57475">
      <w:pPr>
        <w:spacing w:before="120" w:after="84" w:line="276" w:lineRule="auto"/>
        <w:jc w:val="both"/>
        <w:outlineLvl w:val="1"/>
        <w:rPr>
          <w:rFonts w:ascii="Times New Roman" w:eastAsia="Times New Roman" w:hAnsi="Times New Roman" w:cs="Times New Roman"/>
          <w:b/>
          <w:bCs/>
        </w:rPr>
      </w:pPr>
    </w:p>
    <w:p w14:paraId="4C6A1DF3" w14:textId="432AD90B" w:rsidR="00D57475" w:rsidRPr="001958D0" w:rsidRDefault="00D57475" w:rsidP="001958D0">
      <w:pPr>
        <w:pStyle w:val="Prrafodelista"/>
        <w:numPr>
          <w:ilvl w:val="1"/>
          <w:numId w:val="21"/>
        </w:numPr>
        <w:tabs>
          <w:tab w:val="left" w:pos="993"/>
        </w:tabs>
        <w:spacing w:before="120" w:after="60" w:line="276" w:lineRule="auto"/>
        <w:jc w:val="both"/>
        <w:outlineLvl w:val="2"/>
        <w:rPr>
          <w:rFonts w:ascii="Times New Roman" w:eastAsia="Times New Roman" w:hAnsi="Times New Roman" w:cs="Times New Roman"/>
          <w:b/>
          <w:bCs/>
        </w:rPr>
      </w:pPr>
      <w:bookmarkStart w:id="7" w:name="_Toc123068888"/>
      <w:bookmarkStart w:id="8" w:name="_Toc123235762"/>
      <w:bookmarkStart w:id="9" w:name="_Toc123296917"/>
      <w:r w:rsidRPr="001958D0">
        <w:rPr>
          <w:rFonts w:ascii="Times New Roman" w:eastAsia="Times New Roman" w:hAnsi="Times New Roman" w:cs="Times New Roman"/>
          <w:b/>
          <w:bCs/>
        </w:rPr>
        <w:t>Contribución especial de mejoras en materia de vialidad</w:t>
      </w:r>
      <w:bookmarkEnd w:id="7"/>
      <w:bookmarkEnd w:id="8"/>
      <w:bookmarkEnd w:id="9"/>
    </w:p>
    <w:p w14:paraId="1E0BD6B6" w14:textId="77777777" w:rsidR="00D57475" w:rsidRPr="00D57475" w:rsidRDefault="00D57475" w:rsidP="00D57475">
      <w:pPr>
        <w:spacing w:before="120" w:after="60" w:line="276" w:lineRule="auto"/>
        <w:jc w:val="both"/>
        <w:outlineLvl w:val="2"/>
        <w:rPr>
          <w:rFonts w:ascii="Times New Roman" w:eastAsia="Times New Roman" w:hAnsi="Times New Roman" w:cs="Times New Roman"/>
          <w:b/>
          <w:bCs/>
        </w:rPr>
      </w:pPr>
    </w:p>
    <w:p w14:paraId="4738B904"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Existen problemas tanto en la formulación del art. 184 del COOTAD como en la aplicación a través de la emisión de las ordenanzas provinciales que instauran el tributo en cada una de sus circunscripciones. En concreto el art. 184 del COOTAD presenta las siguientes dificultades: i) se refiere a un fondo, el cual debería constituirse según las normas aplicables a las finanzas públicas, con autorización del ministerio rector, lo cual complicaría su aplicación; </w:t>
      </w:r>
      <w:proofErr w:type="spellStart"/>
      <w:r w:rsidRPr="00D57475">
        <w:rPr>
          <w:rFonts w:ascii="Times New Roman" w:hAnsi="Times New Roman" w:cs="Times New Roman"/>
          <w:lang w:val="es-ES"/>
        </w:rPr>
        <w:t>ii</w:t>
      </w:r>
      <w:proofErr w:type="spellEnd"/>
      <w:r w:rsidRPr="00D57475">
        <w:rPr>
          <w:rFonts w:ascii="Times New Roman" w:hAnsi="Times New Roman" w:cs="Times New Roman"/>
          <w:lang w:val="es-ES"/>
        </w:rPr>
        <w:t xml:space="preserve">) se refiere en el título al «mantenimiento», pero en su contenido hace referencia al «mejoramiento vial», actividades que son distintas; y, </w:t>
      </w:r>
      <w:proofErr w:type="spellStart"/>
      <w:r w:rsidRPr="00D57475">
        <w:rPr>
          <w:rFonts w:ascii="Times New Roman" w:hAnsi="Times New Roman" w:cs="Times New Roman"/>
          <w:lang w:val="es-ES"/>
        </w:rPr>
        <w:t>iii</w:t>
      </w:r>
      <w:proofErr w:type="spellEnd"/>
      <w:r w:rsidRPr="00D57475">
        <w:rPr>
          <w:rFonts w:ascii="Times New Roman" w:hAnsi="Times New Roman" w:cs="Times New Roman"/>
          <w:lang w:val="es-ES"/>
        </w:rPr>
        <w:t>) la vinculación de la norma a una obra pública concreta no es clara.</w:t>
      </w:r>
    </w:p>
    <w:p w14:paraId="0BE8C54E" w14:textId="77777777" w:rsidR="001958D0" w:rsidRDefault="001958D0" w:rsidP="001958D0">
      <w:pPr>
        <w:pBdr>
          <w:top w:val="nil"/>
          <w:left w:val="nil"/>
          <w:bottom w:val="nil"/>
          <w:right w:val="nil"/>
          <w:between w:val="nil"/>
        </w:pBdr>
        <w:spacing w:before="120" w:line="276" w:lineRule="auto"/>
        <w:jc w:val="both"/>
        <w:rPr>
          <w:rFonts w:ascii="Times New Roman" w:hAnsi="Times New Roman" w:cs="Times New Roman"/>
          <w:lang w:val="es-ES"/>
        </w:rPr>
      </w:pPr>
    </w:p>
    <w:p w14:paraId="661EB16E" w14:textId="4966E840"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De todas formas, el tributo es una forma de financiamiento de los GAD provinciales, por lo que se considera conveniente que deba permanecer con algunas adecuaciones: i) evitar la confusión entre «mantenimiento» y «mejoramiento vial» y referirse a la obra de vialidad en general; </w:t>
      </w:r>
      <w:proofErr w:type="spellStart"/>
      <w:r w:rsidRPr="00D57475">
        <w:rPr>
          <w:rFonts w:ascii="Times New Roman" w:hAnsi="Times New Roman" w:cs="Times New Roman"/>
          <w:lang w:val="es-ES"/>
        </w:rPr>
        <w:t>ii</w:t>
      </w:r>
      <w:proofErr w:type="spellEnd"/>
      <w:r w:rsidRPr="00D57475">
        <w:rPr>
          <w:rFonts w:ascii="Times New Roman" w:hAnsi="Times New Roman" w:cs="Times New Roman"/>
          <w:lang w:val="es-ES"/>
        </w:rPr>
        <w:t xml:space="preserve">) precisar a los sujetos pasivos del tributo; </w:t>
      </w:r>
      <w:proofErr w:type="spellStart"/>
      <w:r w:rsidRPr="00D57475">
        <w:rPr>
          <w:rFonts w:ascii="Times New Roman" w:hAnsi="Times New Roman" w:cs="Times New Roman"/>
          <w:lang w:val="es-ES"/>
        </w:rPr>
        <w:t>iii</w:t>
      </w:r>
      <w:proofErr w:type="spellEnd"/>
      <w:r w:rsidRPr="00D57475">
        <w:rPr>
          <w:rFonts w:ascii="Times New Roman" w:hAnsi="Times New Roman" w:cs="Times New Roman"/>
          <w:lang w:val="es-ES"/>
        </w:rPr>
        <w:t xml:space="preserve">) garantizar que la obligación sea cumplida como requisito a la matriculación anual; y, </w:t>
      </w:r>
      <w:proofErr w:type="spellStart"/>
      <w:r w:rsidRPr="00D57475">
        <w:rPr>
          <w:rFonts w:ascii="Times New Roman" w:hAnsi="Times New Roman" w:cs="Times New Roman"/>
          <w:lang w:val="es-ES"/>
        </w:rPr>
        <w:t>iv</w:t>
      </w:r>
      <w:proofErr w:type="spellEnd"/>
      <w:r w:rsidRPr="00D57475">
        <w:rPr>
          <w:rFonts w:ascii="Times New Roman" w:hAnsi="Times New Roman" w:cs="Times New Roman"/>
          <w:lang w:val="es-ES"/>
        </w:rPr>
        <w:t>) establecer la cooperación de las entidades competentes.</w:t>
      </w:r>
    </w:p>
    <w:p w14:paraId="1DDEE21A" w14:textId="77777777" w:rsidR="001958D0" w:rsidRDefault="001958D0" w:rsidP="001958D0">
      <w:pPr>
        <w:pStyle w:val="Prrafodelista"/>
        <w:rPr>
          <w:rFonts w:ascii="Times New Roman" w:hAnsi="Times New Roman" w:cs="Times New Roman"/>
          <w:lang w:val="es-ES"/>
        </w:rPr>
      </w:pPr>
    </w:p>
    <w:p w14:paraId="4289C724" w14:textId="0A94CCA0"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Sobre esa base, se evidencia la existencia de incomprensiones en relación con el tributo </w:t>
      </w:r>
      <w:r w:rsidRPr="00D57475">
        <w:rPr>
          <w:rFonts w:ascii="Times New Roman" w:hAnsi="Times New Roman" w:cs="Times New Roman"/>
          <w:lang w:val="es-ES" w:eastAsia="es-ES_tradnl"/>
        </w:rPr>
        <w:t>contribución especial por mejoramiento vial prevista en el art. 184 del COOTAD</w:t>
      </w:r>
      <w:r w:rsidRPr="00D57475">
        <w:rPr>
          <w:rFonts w:ascii="Times New Roman" w:hAnsi="Times New Roman" w:cs="Times New Roman"/>
          <w:lang w:val="es-ES"/>
        </w:rPr>
        <w:t>.</w:t>
      </w:r>
    </w:p>
    <w:p w14:paraId="2AA08FC3" w14:textId="77777777" w:rsidR="001958D0" w:rsidRDefault="001958D0" w:rsidP="001958D0">
      <w:pPr>
        <w:pStyle w:val="Prrafodelista"/>
        <w:rPr>
          <w:rFonts w:ascii="Times New Roman" w:hAnsi="Times New Roman" w:cs="Times New Roman"/>
          <w:lang w:val="es-ES"/>
        </w:rPr>
      </w:pPr>
    </w:p>
    <w:p w14:paraId="3AA9856C" w14:textId="6CB7E4EF"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La contribución especial de mantenimiento vial está prevista en el art. 184 del COOTAD, esto es, en su Título IV “recursos financieros de los gobiernos autónomos descentralizados”, Capítulo V “de las contribuciones especiales de mejoras de los gobiernos municipales y metropolitanos”. La contribución especial por mejoras en la vialidad, en cambio, en el art. 572 del COOTAD, esto es, en el Título IX del COOTAD “disposiciones </w:t>
      </w:r>
      <w:r w:rsidRPr="00D57475">
        <w:rPr>
          <w:rFonts w:ascii="Times New Roman" w:hAnsi="Times New Roman" w:cs="Times New Roman"/>
          <w:lang w:val="es-ES"/>
        </w:rPr>
        <w:lastRenderedPageBreak/>
        <w:t>especiales de los gobiernos metropolitanos y municipales”. Por la particular ubicación de la contribución especial por mejoras en la vialidad (art. 572 COOTAD), se entiende que únicamente ha sido prevista para los gobiernos autónomos descentralizados municipales y metropolitanos.</w:t>
      </w:r>
    </w:p>
    <w:p w14:paraId="6F5D3F42" w14:textId="77777777" w:rsidR="001958D0" w:rsidRDefault="001958D0" w:rsidP="001958D0">
      <w:pPr>
        <w:pStyle w:val="Prrafodelista"/>
        <w:rPr>
          <w:rFonts w:ascii="Times New Roman" w:hAnsi="Times New Roman" w:cs="Times New Roman"/>
          <w:lang w:val="es-ES"/>
        </w:rPr>
      </w:pPr>
    </w:p>
    <w:p w14:paraId="147055CE" w14:textId="1EE51942"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El ejercicio hermenéutico que efectúa el COOTAD en relación con la contribución especial por mejoras en la vialidad es interesante, en la medida en que establece habilitaciones expresas para que varios GAD creen, modifiquen y extingan tasas y contribuciones especiales de mejoras. Pero al mismo tiempo, limita la contribución por mejoras en la vialidad únicamente para los gobiernos municipales y metropolitanos.</w:t>
      </w:r>
    </w:p>
    <w:p w14:paraId="05DBF190" w14:textId="77777777" w:rsidR="001958D0" w:rsidRDefault="001958D0" w:rsidP="001958D0">
      <w:pPr>
        <w:pStyle w:val="Prrafodelista"/>
        <w:rPr>
          <w:rFonts w:ascii="Times New Roman" w:hAnsi="Times New Roman" w:cs="Times New Roman"/>
          <w:lang w:val="es-ES"/>
        </w:rPr>
      </w:pPr>
    </w:p>
    <w:p w14:paraId="349883F2" w14:textId="58EE0239" w:rsidR="00D57475" w:rsidRPr="001958D0"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No obstante, aquella la limitación queda en entredicho cuando se revisan también las competencias exclusivas de los GAD provinciales previstas en el art. </w:t>
      </w:r>
      <w:r w:rsidRPr="00D57475">
        <w:rPr>
          <w:rFonts w:ascii="Times New Roman" w:hAnsi="Times New Roman" w:cs="Times New Roman"/>
          <w:lang w:val="es-ES" w:eastAsia="es-ES_tradnl"/>
        </w:rPr>
        <w:t>263 de la Constitución, que les atribuyen, entre otras, la p</w:t>
      </w:r>
      <w:r w:rsidRPr="00D57475">
        <w:rPr>
          <w:rFonts w:ascii="Times New Roman" w:hAnsi="Times New Roman" w:cs="Times New Roman"/>
          <w:color w:val="000000"/>
          <w:shd w:val="clear" w:color="auto" w:fill="FFFFFF"/>
          <w:lang w:val="es-ES"/>
        </w:rPr>
        <w:t xml:space="preserve">lanificación, construcción y mantenimiento del sistema vial de ámbito provincial, que no incluya zonas urbanas. </w:t>
      </w:r>
      <w:r w:rsidRPr="00D57475">
        <w:rPr>
          <w:rFonts w:ascii="Times New Roman" w:hAnsi="Times New Roman" w:cs="Times New Roman"/>
          <w:lang w:val="es-ES"/>
        </w:rPr>
        <w:t xml:space="preserve">En efecto, es plenamente posible entender que la labor de construcción </w:t>
      </w:r>
      <w:r w:rsidRPr="00D57475">
        <w:rPr>
          <w:rFonts w:ascii="Times New Roman" w:hAnsi="Times New Roman" w:cs="Times New Roman"/>
          <w:color w:val="000000"/>
          <w:shd w:val="clear" w:color="auto" w:fill="FFFFFF"/>
          <w:lang w:val="es-ES"/>
        </w:rPr>
        <w:t>del sistema vial de ámbito provincial, que no incluya zonas urbanas, implicaría, bajo ciertas condiciones, una labor de mejoramiento. Un ejemplo claro se produce cuando se construyen nuevos carriles para una vía, que es, en esencia, una construcción de mejoramiento vial.</w:t>
      </w:r>
    </w:p>
    <w:p w14:paraId="18AED476" w14:textId="77777777" w:rsidR="001958D0" w:rsidRDefault="001958D0" w:rsidP="001958D0">
      <w:pPr>
        <w:pStyle w:val="Prrafodelista"/>
        <w:rPr>
          <w:rFonts w:ascii="Times New Roman" w:hAnsi="Times New Roman" w:cs="Times New Roman"/>
          <w:lang w:val="es-ES"/>
        </w:rPr>
      </w:pPr>
    </w:p>
    <w:p w14:paraId="5A0AB906" w14:textId="3E53A936"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El art. 55 del Reglamento a la Ley del Sistema Infraestructura del Transporte Terrestre, define a la conservación en materia de infraestructura del transporte terrestre a «todas las actividades destinadas a preservar a largo plazo, el funcionamiento adecuado del patrimonio vial terrestre, al menor costo posible, con el objeto de evitar el deterioro innecesario, mediante la protección física de sus estructuras básicas y superficies, procurando evitar su destrucción y la necesidad de una posterior rehabilitación o reconstrucción».</w:t>
      </w:r>
    </w:p>
    <w:p w14:paraId="72E710DD" w14:textId="77777777" w:rsidR="001958D0" w:rsidRDefault="001958D0" w:rsidP="001958D0">
      <w:pPr>
        <w:pStyle w:val="Prrafodelista"/>
        <w:rPr>
          <w:rFonts w:ascii="Times New Roman" w:hAnsi="Times New Roman" w:cs="Times New Roman"/>
          <w:lang w:val="es-ES"/>
        </w:rPr>
      </w:pPr>
    </w:p>
    <w:p w14:paraId="6868FA69" w14:textId="257EEF77"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La norma </w:t>
      </w:r>
      <w:r w:rsidRPr="00D57475">
        <w:rPr>
          <w:rFonts w:ascii="Times New Roman" w:hAnsi="Times New Roman" w:cs="Times New Roman"/>
          <w:i/>
          <w:iCs/>
          <w:lang w:val="es-ES"/>
        </w:rPr>
        <w:t>in comento</w:t>
      </w:r>
      <w:r w:rsidRPr="00D57475">
        <w:rPr>
          <w:rFonts w:ascii="Times New Roman" w:hAnsi="Times New Roman" w:cs="Times New Roman"/>
          <w:lang w:val="es-ES"/>
        </w:rPr>
        <w:t xml:space="preserve">, determina que las actividades de conservación implican </w:t>
      </w:r>
      <w:r w:rsidRPr="00D57475">
        <w:rPr>
          <w:rFonts w:ascii="Times New Roman" w:hAnsi="Times New Roman" w:cs="Times New Roman"/>
          <w:color w:val="000000"/>
          <w:shd w:val="clear" w:color="auto" w:fill="FFFFFF"/>
          <w:lang w:val="es-ES"/>
        </w:rPr>
        <w:t xml:space="preserve">acciones de mantenimiento, reconstrucción, rehabilitación, reparación, refuerzo, reposición u otras que se realicen sobre la infraestructura vial terrestre. En esa medida, la obra de mejoramiento implicaría a todas las actividades que se refieren a la conservación, por lo que sería concordante con la competencia exclusiva prevista en el </w:t>
      </w:r>
      <w:r w:rsidRPr="00D57475">
        <w:rPr>
          <w:rFonts w:ascii="Times New Roman" w:hAnsi="Times New Roman" w:cs="Times New Roman"/>
          <w:lang w:val="es-ES"/>
        </w:rPr>
        <w:t xml:space="preserve">art. </w:t>
      </w:r>
      <w:r w:rsidRPr="00D57475">
        <w:rPr>
          <w:rFonts w:ascii="Times New Roman" w:hAnsi="Times New Roman" w:cs="Times New Roman"/>
          <w:lang w:val="es-ES" w:eastAsia="es-ES_tradnl"/>
        </w:rPr>
        <w:t>263, núm. 3, de la Constitución.</w:t>
      </w:r>
    </w:p>
    <w:p w14:paraId="53E09EAD" w14:textId="77777777" w:rsidR="001958D0" w:rsidRDefault="001958D0" w:rsidP="001958D0">
      <w:pPr>
        <w:pStyle w:val="Prrafodelista"/>
        <w:rPr>
          <w:rFonts w:ascii="Times New Roman" w:hAnsi="Times New Roman" w:cs="Times New Roman"/>
          <w:lang w:val="es-ES"/>
        </w:rPr>
      </w:pPr>
    </w:p>
    <w:p w14:paraId="1E5B892E" w14:textId="6B343D9E" w:rsidR="00D57475" w:rsidRPr="001958D0"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lastRenderedPageBreak/>
        <w:t xml:space="preserve">En adición, el art. </w:t>
      </w:r>
      <w:r w:rsidRPr="00D57475">
        <w:rPr>
          <w:rFonts w:ascii="Times New Roman" w:hAnsi="Times New Roman" w:cs="Times New Roman"/>
          <w:lang w:val="es-ES" w:eastAsia="es-ES_tradnl"/>
        </w:rPr>
        <w:t xml:space="preserve">47, letra f., del COOTAD, como se anticipó, otorga al consejo provincial la atribución de </w:t>
      </w:r>
      <w:r w:rsidRPr="00D57475">
        <w:rPr>
          <w:rFonts w:ascii="Times New Roman" w:hAnsi="Times New Roman" w:cs="Times New Roman"/>
          <w:color w:val="000000"/>
          <w:shd w:val="clear" w:color="auto" w:fill="FFFFFF"/>
          <w:lang w:val="es-ES"/>
        </w:rPr>
        <w:t>crear, modificar o extinguir tasas y/o contribuciones especiales por los servicios que preste y obras que ejecute. Así, una construcción de mejoramiento vial encajaría en aquella atribución, pudiendo un GAD provincial cobrar una contribución especial.</w:t>
      </w:r>
    </w:p>
    <w:p w14:paraId="2F8A68DD" w14:textId="77777777" w:rsidR="001958D0" w:rsidRDefault="001958D0" w:rsidP="001958D0">
      <w:pPr>
        <w:pStyle w:val="Prrafodelista"/>
        <w:rPr>
          <w:rFonts w:ascii="Times New Roman" w:hAnsi="Times New Roman" w:cs="Times New Roman"/>
          <w:lang w:val="es-ES"/>
        </w:rPr>
      </w:pPr>
    </w:p>
    <w:p w14:paraId="38AA66EE" w14:textId="6761A4CC"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A mayor abundamiento, el art. 17, </w:t>
      </w:r>
      <w:proofErr w:type="spellStart"/>
      <w:r w:rsidRPr="00D57475">
        <w:rPr>
          <w:rFonts w:ascii="Times New Roman" w:hAnsi="Times New Roman" w:cs="Times New Roman"/>
          <w:lang w:val="es-ES"/>
        </w:rPr>
        <w:t>num</w:t>
      </w:r>
      <w:proofErr w:type="spellEnd"/>
      <w:r w:rsidRPr="00D57475">
        <w:rPr>
          <w:rFonts w:ascii="Times New Roman" w:hAnsi="Times New Roman" w:cs="Times New Roman"/>
          <w:lang w:val="es-ES"/>
        </w:rPr>
        <w:t>. 6 de la Ley del Sistema Nacional de Infraestructura Vial Transporte Terrestre determina como atribución de varios GAD, entre ellos los provinciales, el establecimiento y recaudación de contribución especial de mejoras por la inversión realizada para los propietarios de los inmuebles que se beneficien por el mejoramiento de la infraestructura vial dentro de su circunscripción territorial.</w:t>
      </w:r>
    </w:p>
    <w:p w14:paraId="3AC23D6C" w14:textId="77777777" w:rsidR="001958D0" w:rsidRDefault="001958D0" w:rsidP="001958D0">
      <w:pPr>
        <w:pStyle w:val="Prrafodelista"/>
        <w:rPr>
          <w:rFonts w:ascii="Times New Roman" w:hAnsi="Times New Roman" w:cs="Times New Roman"/>
          <w:lang w:val="es-ES"/>
        </w:rPr>
      </w:pPr>
    </w:p>
    <w:p w14:paraId="7C3B7B4B" w14:textId="4F494269"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En esa medida, los GAD provinciales pueden establecer una contribución especial por mantenimiento y mejoramiento vial, fundamentada en sus competencias exclusivas, pero para ello NO deben considerar el art. 572 del COOTAD al ser exclusivo de los GAD municipales y metropolitanos. En aquella contribución, los sujetos pasivos no necesariamente tendrán que ser los propietarios de vehículos, puede incluirse a las personas que se les genera un beneficio en sus bienes inmuebles por la realización de la obra. Ha sido usual vincular al tributo contribución especial de mejora justamente con el principio de beneficio, entendiéndose que, en esencia, cualquier contribución que implica un mejoramiento que debe ser retribuido.</w:t>
      </w:r>
      <w:r w:rsidRPr="00D57475">
        <w:rPr>
          <w:rStyle w:val="Refdenotaalpie"/>
          <w:rFonts w:ascii="Times New Roman" w:hAnsi="Times New Roman" w:cs="Times New Roman"/>
          <w:lang w:val="es-ES"/>
        </w:rPr>
        <w:footnoteReference w:id="1"/>
      </w:r>
      <w:r w:rsidRPr="00D57475">
        <w:rPr>
          <w:rFonts w:ascii="Times New Roman" w:hAnsi="Times New Roman" w:cs="Times New Roman"/>
          <w:lang w:val="es-ES"/>
        </w:rPr>
        <w:t xml:space="preserve"> </w:t>
      </w:r>
    </w:p>
    <w:p w14:paraId="20F3D0BB" w14:textId="77777777" w:rsidR="001958D0" w:rsidRDefault="001958D0" w:rsidP="001958D0">
      <w:pPr>
        <w:pStyle w:val="Prrafodelista"/>
        <w:rPr>
          <w:rFonts w:ascii="Times New Roman" w:hAnsi="Times New Roman" w:cs="Times New Roman"/>
          <w:lang w:val="es-ES"/>
        </w:rPr>
      </w:pPr>
    </w:p>
    <w:p w14:paraId="10F5ED5A" w14:textId="3F9BF0EF"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Por otro lado, como un asunto vinculado, debe resaltarse que en Título IX “disposiciones especiales de los gobiernos metropolitanos y municipales” del COOTAD, en sus capítulos IV y V, se regulan asuntos vinculados con la esencia de los tributos tasas y contribuciones especiales, que por su contenido nos son, en algunos casos, exclusivos de los GAD municipales y metropolitanos. Algunas de las normas de aquellos capítulos justamente delimitan elementos de tributos que deberían observar todos los GAD con potestad tributaria.</w:t>
      </w:r>
    </w:p>
    <w:p w14:paraId="17FC64CD" w14:textId="77777777" w:rsidR="001958D0" w:rsidRDefault="001958D0" w:rsidP="001958D0">
      <w:pPr>
        <w:pStyle w:val="Prrafodelista"/>
        <w:rPr>
          <w:rFonts w:ascii="Times New Roman" w:hAnsi="Times New Roman" w:cs="Times New Roman"/>
          <w:lang w:val="es-ES"/>
        </w:rPr>
      </w:pPr>
    </w:p>
    <w:p w14:paraId="459F47F9" w14:textId="3219E77C" w:rsid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 xml:space="preserve">Po lo indicado, sería más adecuado que las normas que se refieren a asuntos esenciales de la configuración normativa de tasas y contribuciones especiales no sean exclusivas de los GAD municipales y metropolitanos, sino que puedan extenderse a los GAD provinciales. El </w:t>
      </w:r>
      <w:r w:rsidRPr="00D57475">
        <w:rPr>
          <w:rFonts w:ascii="Times New Roman" w:hAnsi="Times New Roman" w:cs="Times New Roman"/>
          <w:lang w:val="es-ES"/>
        </w:rPr>
        <w:lastRenderedPageBreak/>
        <w:t xml:space="preserve">procedimiento más adecuado sería la incorporación de un título adicional en el COOTAD que se refiere a las disposiciones especiales para los tributos de los gobiernos autónomos descentralizados provinciales. </w:t>
      </w:r>
    </w:p>
    <w:p w14:paraId="57B742BB" w14:textId="77777777" w:rsidR="001958D0" w:rsidRDefault="001958D0" w:rsidP="001958D0">
      <w:pPr>
        <w:pStyle w:val="Prrafodelista"/>
        <w:rPr>
          <w:rFonts w:ascii="Times New Roman" w:hAnsi="Times New Roman" w:cs="Times New Roman"/>
          <w:lang w:val="es-ES"/>
        </w:rPr>
      </w:pPr>
    </w:p>
    <w:p w14:paraId="0A98F0BB" w14:textId="2C87DD39"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hAnsi="Times New Roman" w:cs="Times New Roman"/>
          <w:lang w:val="es-ES"/>
        </w:rPr>
      </w:pPr>
      <w:r w:rsidRPr="00D57475">
        <w:rPr>
          <w:rFonts w:ascii="Times New Roman" w:hAnsi="Times New Roman" w:cs="Times New Roman"/>
          <w:lang w:val="es-ES"/>
        </w:rPr>
        <w:t>En definitiva, a través de la reforma planteada se habilitaría a los GAD provinciales a poder establecer de mejor manera tasas y contribuciones especiales de mejora, lo cual será un mecanismo de recuperación importante de las inversiones, por ejemplo, para aquellos GAD que ejecutan obras de vialidad que benefician a los predios que colindan con la infraestructura.</w:t>
      </w:r>
    </w:p>
    <w:p w14:paraId="2857DE2C" w14:textId="77777777" w:rsidR="00D57475" w:rsidRPr="00D57475" w:rsidRDefault="00D57475" w:rsidP="00D57475">
      <w:pPr>
        <w:pStyle w:val="Prrafodelista"/>
        <w:spacing w:before="120" w:after="84" w:line="276" w:lineRule="auto"/>
        <w:ind w:left="360"/>
        <w:jc w:val="both"/>
        <w:outlineLvl w:val="1"/>
        <w:rPr>
          <w:rFonts w:ascii="Times New Roman" w:eastAsia="Times New Roman" w:hAnsi="Times New Roman" w:cs="Times New Roman"/>
          <w:b/>
          <w:bCs/>
          <w:sz w:val="24"/>
          <w:szCs w:val="24"/>
        </w:rPr>
      </w:pPr>
    </w:p>
    <w:p w14:paraId="4DF30637" w14:textId="7D80F6B9" w:rsidR="00D57475" w:rsidRPr="001958D0" w:rsidRDefault="00D57475" w:rsidP="001958D0">
      <w:pPr>
        <w:pStyle w:val="Prrafodelista"/>
        <w:numPr>
          <w:ilvl w:val="1"/>
          <w:numId w:val="21"/>
        </w:numPr>
        <w:tabs>
          <w:tab w:val="left" w:pos="993"/>
        </w:tabs>
        <w:spacing w:before="120" w:after="60" w:line="276" w:lineRule="auto"/>
        <w:jc w:val="both"/>
        <w:outlineLvl w:val="2"/>
        <w:rPr>
          <w:rFonts w:ascii="Times New Roman" w:eastAsia="Times New Roman" w:hAnsi="Times New Roman" w:cs="Times New Roman"/>
          <w:b/>
          <w:bCs/>
        </w:rPr>
      </w:pPr>
      <w:bookmarkStart w:id="10" w:name="_Toc123068889"/>
      <w:bookmarkStart w:id="11" w:name="_Toc123235763"/>
      <w:bookmarkStart w:id="12" w:name="_Toc123296918"/>
      <w:r w:rsidRPr="001958D0">
        <w:rPr>
          <w:rFonts w:ascii="Times New Roman" w:eastAsia="Times New Roman" w:hAnsi="Times New Roman" w:cs="Times New Roman"/>
          <w:b/>
          <w:bCs/>
        </w:rPr>
        <w:t>Competencia descentralizada de riego y drenaje</w:t>
      </w:r>
      <w:bookmarkEnd w:id="10"/>
      <w:bookmarkEnd w:id="11"/>
      <w:bookmarkEnd w:id="12"/>
      <w:r w:rsidR="001958D0">
        <w:rPr>
          <w:rFonts w:ascii="Times New Roman" w:eastAsia="Times New Roman" w:hAnsi="Times New Roman" w:cs="Times New Roman"/>
          <w:b/>
          <w:bCs/>
        </w:rPr>
        <w:t>:</w:t>
      </w:r>
    </w:p>
    <w:p w14:paraId="7F4249B6" w14:textId="77777777" w:rsidR="00D57475" w:rsidRPr="00D57475" w:rsidRDefault="00D57475" w:rsidP="00D57475">
      <w:pPr>
        <w:pStyle w:val="Prrafodelista"/>
        <w:tabs>
          <w:tab w:val="left" w:pos="993"/>
        </w:tabs>
        <w:spacing w:before="120" w:after="60" w:line="276" w:lineRule="auto"/>
        <w:ind w:left="426"/>
        <w:jc w:val="both"/>
        <w:outlineLvl w:val="2"/>
        <w:rPr>
          <w:rFonts w:ascii="Times New Roman" w:eastAsia="Times New Roman" w:hAnsi="Times New Roman" w:cs="Times New Roman"/>
          <w:b/>
          <w:bCs/>
          <w:sz w:val="24"/>
          <w:szCs w:val="24"/>
        </w:rPr>
      </w:pPr>
    </w:p>
    <w:p w14:paraId="2D12D43D"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Esta sección expondrá de manera sintética la problemática jurídica identificada en el ordenamiento jurídico que regula las actividades de riego y drenaje. En </w:t>
      </w:r>
      <w:proofErr w:type="gramStart"/>
      <w:r w:rsidRPr="00D57475">
        <w:rPr>
          <w:rFonts w:ascii="Times New Roman" w:eastAsia="Times New Roman" w:hAnsi="Times New Roman" w:cs="Times New Roman"/>
        </w:rPr>
        <w:t>resumen</w:t>
      </w:r>
      <w:proofErr w:type="gramEnd"/>
      <w:r w:rsidRPr="00D57475">
        <w:rPr>
          <w:rFonts w:ascii="Times New Roman" w:eastAsia="Times New Roman" w:hAnsi="Times New Roman" w:cs="Times New Roman"/>
        </w:rPr>
        <w:t xml:space="preserve"> se ha identificado: </w:t>
      </w:r>
    </w:p>
    <w:p w14:paraId="4664EB39" w14:textId="77777777" w:rsidR="00D57475" w:rsidRPr="00D57475" w:rsidRDefault="00D57475" w:rsidP="00D57475">
      <w:pPr>
        <w:numPr>
          <w:ilvl w:val="0"/>
          <w:numId w:val="7"/>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Desfinanciamiento de la operación de la infraestructura de riego, </w:t>
      </w:r>
    </w:p>
    <w:p w14:paraId="28A0B2FD" w14:textId="77777777" w:rsidR="00D57475" w:rsidRPr="00D57475" w:rsidRDefault="00D57475" w:rsidP="00D57475">
      <w:pPr>
        <w:numPr>
          <w:ilvl w:val="0"/>
          <w:numId w:val="7"/>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Discrecionalidad en la asignación de recursos de inversión provenientes de la descentralización de la competencia de riego y drenaje, </w:t>
      </w:r>
    </w:p>
    <w:p w14:paraId="37FF601D" w14:textId="77777777" w:rsidR="00D57475" w:rsidRPr="00D57475" w:rsidRDefault="00D57475" w:rsidP="00D57475">
      <w:pPr>
        <w:numPr>
          <w:ilvl w:val="0"/>
          <w:numId w:val="7"/>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Mora regulatoria. </w:t>
      </w:r>
    </w:p>
    <w:p w14:paraId="5B1707F5"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El propósito de esta descripción es poder realizar una propuesta de solución que abarque de manera holística la problemática identificada. </w:t>
      </w:r>
    </w:p>
    <w:p w14:paraId="1D993087"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p w14:paraId="18E75B73" w14:textId="4BB2D47F" w:rsidR="00D57475" w:rsidRPr="001958D0" w:rsidRDefault="00D57475" w:rsidP="001958D0">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bookmarkStart w:id="13" w:name="_Toc123068890"/>
      <w:bookmarkStart w:id="14" w:name="_Toc123235764"/>
      <w:bookmarkStart w:id="15" w:name="_Toc123296919"/>
      <w:r w:rsidRPr="001958D0">
        <w:rPr>
          <w:rFonts w:ascii="Times New Roman" w:eastAsia="Times New Roman" w:hAnsi="Times New Roman" w:cs="Times New Roman"/>
          <w:b/>
          <w:bCs/>
        </w:rPr>
        <w:t>Desfinanciamiento de la operación de la infraestructura de riego</w:t>
      </w:r>
      <w:bookmarkEnd w:id="13"/>
      <w:bookmarkEnd w:id="14"/>
      <w:bookmarkEnd w:id="15"/>
      <w:r w:rsidR="001958D0">
        <w:rPr>
          <w:rFonts w:ascii="Times New Roman" w:eastAsia="Times New Roman" w:hAnsi="Times New Roman" w:cs="Times New Roman"/>
          <w:b/>
          <w:bCs/>
        </w:rPr>
        <w:t>:</w:t>
      </w:r>
    </w:p>
    <w:p w14:paraId="7EAC0B49"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sz w:val="24"/>
          <w:szCs w:val="24"/>
        </w:rPr>
      </w:pPr>
    </w:p>
    <w:p w14:paraId="2939FEC9"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El principal problema que tiene la operación de infraestructura de riego y drenaje es la descapitalización que ha venido sufriendo a partir de la exoneración del pago de tarifa básica para usuarios de canales de riego. Hasta 2004, el pago de la tarifa básica permitir al proyecto tener recursos para su operación y mantenimiento, sin depender del Presupuesto General del Estado. En muchas ocasiones, los procesos de mantenimiento se encarecen si no son realizados oportunamente. </w:t>
      </w:r>
    </w:p>
    <w:p w14:paraId="30F023E3"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La Ley 2004-31 reformatoria a la Ley de Aguas (Registro Oficial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271, 11 de febrero de 2004), sustituyó el artículo 17 de la Ley de Aguas para introducir una exoneración del pago de tarifa básica para sistemas de riego a cargo de las corporaciones regionales de desarrollo. Desde entonces, los sistemas de riego de gestión pública se van desfinanciando por no tener fondos fijos y predecibles para su operación y mantenimiento.</w:t>
      </w:r>
    </w:p>
    <w:p w14:paraId="079D7E28"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p w14:paraId="3FFD6AF8" w14:textId="09CCA453" w:rsidR="00D57475" w:rsidRPr="009662A1" w:rsidRDefault="00D57475" w:rsidP="009662A1">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bookmarkStart w:id="16" w:name="_Toc123068891"/>
      <w:bookmarkStart w:id="17" w:name="_Toc123235765"/>
      <w:bookmarkStart w:id="18" w:name="_Toc123296920"/>
      <w:r w:rsidRPr="009662A1">
        <w:rPr>
          <w:rFonts w:ascii="Times New Roman" w:eastAsia="Times New Roman" w:hAnsi="Times New Roman" w:cs="Times New Roman"/>
          <w:b/>
          <w:bCs/>
        </w:rPr>
        <w:t>Discrecionalidad en la descentralización de recursos de inversión</w:t>
      </w:r>
      <w:bookmarkEnd w:id="16"/>
      <w:bookmarkEnd w:id="17"/>
      <w:bookmarkEnd w:id="18"/>
      <w:r w:rsidR="009662A1">
        <w:rPr>
          <w:rFonts w:ascii="Times New Roman" w:eastAsia="Times New Roman" w:hAnsi="Times New Roman" w:cs="Times New Roman"/>
          <w:b/>
          <w:bCs/>
        </w:rPr>
        <w:t>:</w:t>
      </w:r>
    </w:p>
    <w:p w14:paraId="77FD8CE6"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sz w:val="24"/>
          <w:szCs w:val="24"/>
        </w:rPr>
      </w:pPr>
    </w:p>
    <w:p w14:paraId="55134778" w14:textId="77EE358A"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Mediante Resolución CNC-008-2011, el Consejo Nacional de Competencias resuelve transferir las facultades de planificación, construcción, operación y mantenimiento de los sistemas de riego y drenaje a favor de los GAD provinciales del país, dejando en el nivel central de gobierno, las facultades de rectoría nacional, planificación nacional, regulación nacional y control.</w:t>
      </w:r>
    </w:p>
    <w:p w14:paraId="09667B94" w14:textId="77777777" w:rsidR="00970DA0" w:rsidRPr="00D57475" w:rsidRDefault="00970DA0" w:rsidP="00970DA0">
      <w:pPr>
        <w:pBdr>
          <w:top w:val="nil"/>
          <w:left w:val="nil"/>
          <w:bottom w:val="nil"/>
          <w:right w:val="nil"/>
          <w:between w:val="nil"/>
        </w:pBdr>
        <w:spacing w:before="120" w:line="276" w:lineRule="auto"/>
        <w:jc w:val="both"/>
        <w:rPr>
          <w:rFonts w:ascii="Times New Roman" w:eastAsia="Times New Roman" w:hAnsi="Times New Roman" w:cs="Times New Roman"/>
        </w:rPr>
      </w:pPr>
    </w:p>
    <w:p w14:paraId="5FA9A06E"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Según esta resolución, los recursos destinados para rehabilitación, operación y mantenimiento de los sistemas de riego y drenaje contenidos en el literal a) del artículo 48 de la Resolución CNC-008-2011 se transferirán directamente y se distribuirán entre los GAD provinciales de forma anual. </w:t>
      </w:r>
    </w:p>
    <w:p w14:paraId="55C86189" w14:textId="77777777" w:rsidR="00970DA0" w:rsidRDefault="00970DA0" w:rsidP="00970DA0">
      <w:pPr>
        <w:pStyle w:val="Prrafodelista"/>
        <w:rPr>
          <w:rFonts w:ascii="Times New Roman" w:eastAsia="Times New Roman" w:hAnsi="Times New Roman" w:cs="Times New Roman"/>
        </w:rPr>
      </w:pPr>
    </w:p>
    <w:p w14:paraId="097C9400"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Por otro lado, los recursos destinados al gasto de inversión descritos en los literales b) y c) del artículo 48 de la Resolución CNC-008-2011 se transferirán contra la presentación de proyectos de inversión para riego y drenaje y para estudios de </w:t>
      </w:r>
      <w:proofErr w:type="spellStart"/>
      <w:r w:rsidRPr="00D57475">
        <w:rPr>
          <w:rFonts w:ascii="Times New Roman" w:eastAsia="Times New Roman" w:hAnsi="Times New Roman" w:cs="Times New Roman"/>
        </w:rPr>
        <w:t>preinversión</w:t>
      </w:r>
      <w:proofErr w:type="spellEnd"/>
      <w:r w:rsidRPr="00D57475">
        <w:rPr>
          <w:rFonts w:ascii="Times New Roman" w:eastAsia="Times New Roman" w:hAnsi="Times New Roman" w:cs="Times New Roman"/>
        </w:rPr>
        <w:t xml:space="preserve"> de conformidad con el Plan Nacional de Riego y Drenaje, y los respectivos planes provinciales. La inversión que se realice con estos recursos estará sujeta a los montos máximos por provincia definidos en la tabla elaborada por el ministerio rector, y los proyectos presentados por los GAD provinciales deberán contar además con un informe de conformidad a los objetivos establecidos en el Plan Nacional de Riego y Drenaje por parte del MAATE. </w:t>
      </w:r>
    </w:p>
    <w:p w14:paraId="24844D67" w14:textId="77777777" w:rsidR="00970DA0" w:rsidRDefault="00970DA0" w:rsidP="00970DA0">
      <w:pPr>
        <w:pStyle w:val="Prrafodelista"/>
        <w:rPr>
          <w:rFonts w:ascii="Times New Roman" w:eastAsia="Times New Roman" w:hAnsi="Times New Roman" w:cs="Times New Roman"/>
        </w:rPr>
      </w:pPr>
    </w:p>
    <w:p w14:paraId="0B467708"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Constitución en su artículo 273 determina que la transferencia de competencias a los gobiernos autónomos descentralizados deberá estar acompañada de los recursos correspondientes. Por tanto, no podrá existir una transferencia de competencia sin los recursos suficientes, salvo que exista la aceptación expresa a la institución que asumirá dichas competencias. Ahora, si bien la Resolución CNC-008-2011 prevé la transferencia de recursos </w:t>
      </w:r>
      <w:r w:rsidRPr="00D57475">
        <w:rPr>
          <w:rFonts w:ascii="Times New Roman" w:eastAsia="Times New Roman" w:hAnsi="Times New Roman" w:cs="Times New Roman"/>
        </w:rPr>
        <w:lastRenderedPageBreak/>
        <w:t xml:space="preserve">para rehabilitación, operación y mantenimiento de los sistemas de riego y drenaje de forma directa, los recursos destinados a inversión se encuentran supeditados a la presentación y aprobación de los proyectos de inversión. </w:t>
      </w:r>
    </w:p>
    <w:p w14:paraId="5BCCEAC3" w14:textId="77777777" w:rsidR="00970DA0" w:rsidRDefault="00970DA0" w:rsidP="00970DA0">
      <w:pPr>
        <w:pStyle w:val="Prrafodelista"/>
        <w:rPr>
          <w:rFonts w:ascii="Times New Roman" w:eastAsia="Times New Roman" w:hAnsi="Times New Roman" w:cs="Times New Roman"/>
        </w:rPr>
      </w:pPr>
    </w:p>
    <w:p w14:paraId="295115C5"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Al requerirse ciertos requisitos que deben ser cumplidos para la asignación de recursos para esta competencia se limita el ejercicio de las competencias que fueron transferidas. La evidencia histórica desde la vigencia de la Resolución CNC-008-2011 permite concluir que la asignación del presupuesto de inversión (literales b y c del artículo 48) ha estado sujeta más a decisiones discrecionales de la autoridad central, </w:t>
      </w:r>
      <w:proofErr w:type="gramStart"/>
      <w:r w:rsidRPr="00D57475">
        <w:rPr>
          <w:rFonts w:ascii="Times New Roman" w:eastAsia="Times New Roman" w:hAnsi="Times New Roman" w:cs="Times New Roman"/>
        </w:rPr>
        <w:t>que</w:t>
      </w:r>
      <w:proofErr w:type="gramEnd"/>
      <w:r w:rsidRPr="00D57475">
        <w:rPr>
          <w:rFonts w:ascii="Times New Roman" w:eastAsia="Times New Roman" w:hAnsi="Times New Roman" w:cs="Times New Roman"/>
        </w:rPr>
        <w:t xml:space="preserve"> a la existencia, cumplimiento o grado de cumplimiento, de parámetros objetivos.</w:t>
      </w:r>
    </w:p>
    <w:p w14:paraId="3EFF0225" w14:textId="77777777" w:rsidR="00970DA0" w:rsidRDefault="00970DA0" w:rsidP="00970DA0">
      <w:pPr>
        <w:pStyle w:val="Prrafodelista"/>
        <w:rPr>
          <w:rFonts w:ascii="Times New Roman" w:eastAsia="Times New Roman" w:hAnsi="Times New Roman" w:cs="Times New Roman"/>
        </w:rPr>
      </w:pPr>
    </w:p>
    <w:p w14:paraId="26BCF252" w14:textId="17A292EB"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aprobación de proyectos de inversión, para acceder a los fondos correspondientes a los literales b y c del artículo 48 de la Resolución CNC-008-2011, debe seguir el procedimiento previsto en el Acuerdo Ministerial MAATE-2022-0771. En esta normativa el </w:t>
      </w:r>
      <w:proofErr w:type="gramStart"/>
      <w:r w:rsidRPr="00D57475">
        <w:rPr>
          <w:rFonts w:ascii="Times New Roman" w:eastAsia="Times New Roman" w:hAnsi="Times New Roman" w:cs="Times New Roman"/>
        </w:rPr>
        <w:t>Ministro</w:t>
      </w:r>
      <w:proofErr w:type="gramEnd"/>
      <w:r w:rsidRPr="00D57475">
        <w:rPr>
          <w:rFonts w:ascii="Times New Roman" w:eastAsia="Times New Roman" w:hAnsi="Times New Roman" w:cs="Times New Roman"/>
        </w:rPr>
        <w:t xml:space="preserve"> de Ambiente, Agua y Transición Ecológica, aprobó y expidió la "Guía para la formulación de proyectos de riego y drenaje", misma que contiene las directrices y guías técnicas para la formulación de proyectos integrales de riego y drenaje que aporten al cumplimiento de los objetivos y metas del Plan Nacional de Riego y Drenaje.</w:t>
      </w:r>
    </w:p>
    <w:p w14:paraId="2836964F" w14:textId="77777777" w:rsidR="00970DA0" w:rsidRDefault="00970DA0" w:rsidP="00970DA0">
      <w:pPr>
        <w:pStyle w:val="Prrafodelista"/>
        <w:rPr>
          <w:rFonts w:ascii="Times New Roman" w:eastAsia="Times New Roman" w:hAnsi="Times New Roman" w:cs="Times New Roman"/>
        </w:rPr>
      </w:pPr>
    </w:p>
    <w:p w14:paraId="39A8FFC4" w14:textId="20A93A69"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Conforme dicha guía, el ciclo del proyecto tendrá 2 fases: la </w:t>
      </w:r>
      <w:proofErr w:type="spellStart"/>
      <w:r w:rsidRPr="00D57475">
        <w:rPr>
          <w:rFonts w:ascii="Times New Roman" w:eastAsia="Times New Roman" w:hAnsi="Times New Roman" w:cs="Times New Roman"/>
        </w:rPr>
        <w:t>pre-inversión</w:t>
      </w:r>
      <w:proofErr w:type="spellEnd"/>
      <w:r w:rsidRPr="00D57475">
        <w:rPr>
          <w:rFonts w:ascii="Times New Roman" w:eastAsia="Times New Roman" w:hAnsi="Times New Roman" w:cs="Times New Roman"/>
        </w:rPr>
        <w:t xml:space="preserve">, dentro de la cual se deberán llevar a cabo todos los estudios por etapas, de forma gradual que permitirán tomar una decisión respecto a si se continua con la siguiente etapa o si debe abandonarla previo a incurrir en mayores gastos; y la inversión, que corresponde a la ejecución del proyecto, entendida como el desarrollo de las actividades necesarias para ejecutar físicamente el proyecto, de la forma en la que se determinó en la </w:t>
      </w:r>
      <w:proofErr w:type="spellStart"/>
      <w:r w:rsidRPr="00D57475">
        <w:rPr>
          <w:rFonts w:ascii="Times New Roman" w:eastAsia="Times New Roman" w:hAnsi="Times New Roman" w:cs="Times New Roman"/>
        </w:rPr>
        <w:t>pre-inversión</w:t>
      </w:r>
      <w:proofErr w:type="spellEnd"/>
      <w:r w:rsidRPr="00D57475">
        <w:rPr>
          <w:rFonts w:ascii="Times New Roman" w:eastAsia="Times New Roman" w:hAnsi="Times New Roman" w:cs="Times New Roman"/>
        </w:rPr>
        <w:t>.</w:t>
      </w:r>
    </w:p>
    <w:p w14:paraId="104F6EA0" w14:textId="77777777" w:rsidR="00970DA0" w:rsidRDefault="00970DA0" w:rsidP="00970DA0">
      <w:pPr>
        <w:pStyle w:val="Prrafodelista"/>
        <w:rPr>
          <w:rFonts w:ascii="Times New Roman" w:eastAsia="Times New Roman" w:hAnsi="Times New Roman" w:cs="Times New Roman"/>
        </w:rPr>
      </w:pPr>
    </w:p>
    <w:p w14:paraId="2368E316" w14:textId="62BC1232"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Según lo establecido en el Acuerdo Ministerial Nro. MAAE-2020-023 de 27 de julio del 2020, la Subsecretaría de Agua Potable, Saneamiento, Riego y Drenaje es la encargada de la emisión de informes de viabilidad técnica e informes de concordancia de los proyectos de inversión de riego y drenaje presentados por los GAD Provinciales a nivel nacional.</w:t>
      </w:r>
    </w:p>
    <w:p w14:paraId="1CA8E68A" w14:textId="77777777" w:rsidR="00970DA0" w:rsidRDefault="00970DA0" w:rsidP="00970DA0">
      <w:pPr>
        <w:pStyle w:val="Prrafodelista"/>
        <w:rPr>
          <w:rFonts w:ascii="Times New Roman" w:eastAsia="Times New Roman" w:hAnsi="Times New Roman" w:cs="Times New Roman"/>
        </w:rPr>
      </w:pPr>
    </w:p>
    <w:p w14:paraId="09DC9784"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En ese sentido, corresponde a la Subsecretaría de Agua Potable, Saneamiento, Riego y Drenaje como parte del </w:t>
      </w:r>
      <w:proofErr w:type="gramStart"/>
      <w:r w:rsidRPr="00D57475">
        <w:rPr>
          <w:rFonts w:ascii="Times New Roman" w:eastAsia="Times New Roman" w:hAnsi="Times New Roman" w:cs="Times New Roman"/>
        </w:rPr>
        <w:t>Ministro</w:t>
      </w:r>
      <w:proofErr w:type="gramEnd"/>
      <w:r w:rsidRPr="00D57475">
        <w:rPr>
          <w:rFonts w:ascii="Times New Roman" w:eastAsia="Times New Roman" w:hAnsi="Times New Roman" w:cs="Times New Roman"/>
        </w:rPr>
        <w:t xml:space="preserve"> de Ambiente, Agua y Transición Ecológica el definir si un proyecto debe pasar a la fase de inversión y por tanto, recibir los fondos por parte del </w:t>
      </w:r>
      <w:r w:rsidRPr="00D57475">
        <w:rPr>
          <w:rFonts w:ascii="Times New Roman" w:eastAsia="Times New Roman" w:hAnsi="Times New Roman" w:cs="Times New Roman"/>
        </w:rPr>
        <w:lastRenderedPageBreak/>
        <w:t>Ministerio de Finanzas. Este es el espacio de discrecionalidad que permite asignación o no de recursos en la siguiente fase de la Guía para la formulación de proyectos de riego y drenaje.</w:t>
      </w:r>
    </w:p>
    <w:p w14:paraId="5B69F2F5" w14:textId="77777777" w:rsidR="00970DA0" w:rsidRDefault="00970DA0" w:rsidP="00970DA0">
      <w:pPr>
        <w:tabs>
          <w:tab w:val="left" w:pos="993"/>
        </w:tabs>
        <w:spacing w:before="120" w:after="60" w:line="276" w:lineRule="auto"/>
        <w:jc w:val="both"/>
        <w:outlineLvl w:val="2"/>
        <w:rPr>
          <w:rFonts w:ascii="Times New Roman" w:eastAsia="Times New Roman" w:hAnsi="Times New Roman" w:cs="Times New Roman"/>
        </w:rPr>
      </w:pPr>
      <w:bookmarkStart w:id="19" w:name="_Toc123068892"/>
      <w:bookmarkStart w:id="20" w:name="_Toc123235766"/>
      <w:bookmarkStart w:id="21" w:name="_Toc123296921"/>
    </w:p>
    <w:p w14:paraId="0A3892E1" w14:textId="083B3A8C" w:rsidR="00D57475" w:rsidRPr="00970DA0" w:rsidRDefault="00D57475" w:rsidP="00970DA0">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r w:rsidRPr="00970DA0">
        <w:rPr>
          <w:rFonts w:ascii="Times New Roman" w:eastAsia="Times New Roman" w:hAnsi="Times New Roman" w:cs="Times New Roman"/>
          <w:b/>
          <w:bCs/>
        </w:rPr>
        <w:t>Mora regulatoria en materia de riego y drenaje</w:t>
      </w:r>
      <w:bookmarkEnd w:id="19"/>
      <w:bookmarkEnd w:id="20"/>
      <w:bookmarkEnd w:id="21"/>
      <w:r w:rsidR="00970DA0">
        <w:rPr>
          <w:rFonts w:ascii="Times New Roman" w:eastAsia="Times New Roman" w:hAnsi="Times New Roman" w:cs="Times New Roman"/>
          <w:b/>
          <w:bCs/>
        </w:rPr>
        <w:t>:</w:t>
      </w:r>
    </w:p>
    <w:p w14:paraId="37677584"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sz w:val="24"/>
          <w:szCs w:val="24"/>
        </w:rPr>
      </w:pPr>
    </w:p>
    <w:p w14:paraId="17141023"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7 de la Resolución 008-CNC-2011 otorga al Gobierno central cuatro ámbitos mínimos de regulación: </w:t>
      </w:r>
    </w:p>
    <w:p w14:paraId="77BBD79E" w14:textId="77777777" w:rsidR="00D57475" w:rsidRPr="00D57475" w:rsidRDefault="00D57475" w:rsidP="00D57475">
      <w:pPr>
        <w:numPr>
          <w:ilvl w:val="0"/>
          <w:numId w:val="8"/>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Emitir normativa nacional para estandarizar productos y servicios de riego y drenaje, </w:t>
      </w:r>
    </w:p>
    <w:p w14:paraId="7C4BBE7B" w14:textId="77777777" w:rsidR="00D57475" w:rsidRPr="00D57475" w:rsidRDefault="00D57475" w:rsidP="00D57475">
      <w:pPr>
        <w:numPr>
          <w:ilvl w:val="0"/>
          <w:numId w:val="8"/>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Establecer estándares de construcción de infraestructura de riego y drenaje, </w:t>
      </w:r>
    </w:p>
    <w:p w14:paraId="00D77F15" w14:textId="77777777" w:rsidR="00D57475" w:rsidRPr="00D57475" w:rsidRDefault="00D57475" w:rsidP="00D57475">
      <w:pPr>
        <w:numPr>
          <w:ilvl w:val="0"/>
          <w:numId w:val="8"/>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Establecer la estructura tarifaria de los servicios públicos de riego y drenaje, y (</w:t>
      </w:r>
      <w:proofErr w:type="spellStart"/>
      <w:r w:rsidRPr="00D57475">
        <w:rPr>
          <w:rFonts w:ascii="Times New Roman" w:eastAsia="Times New Roman" w:hAnsi="Times New Roman" w:cs="Times New Roman"/>
        </w:rPr>
        <w:t>iv</w:t>
      </w:r>
      <w:proofErr w:type="spellEnd"/>
      <w:r w:rsidRPr="00D57475">
        <w:rPr>
          <w:rFonts w:ascii="Times New Roman" w:eastAsia="Times New Roman" w:hAnsi="Times New Roman" w:cs="Times New Roman"/>
        </w:rPr>
        <w:t xml:space="preserve">) desarrollo agrario y productivo vinculado con la competencia. </w:t>
      </w:r>
    </w:p>
    <w:p w14:paraId="6632E89F" w14:textId="77777777"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única regulación técnica nacional en materia de riego y drenaje es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9 de la Agencia de Regulación y Control del Agua, que contiene la Normativa técnica para la determinación del estado situacional de la prestación del servicio público de riego y la gestión de los planes de mejora, publicada en el Registro Oficial 474 de 24 de abril de 2019. </w:t>
      </w:r>
    </w:p>
    <w:p w14:paraId="64B4B93F" w14:textId="77777777" w:rsidR="00E222D5" w:rsidRPr="00D57475" w:rsidRDefault="00E222D5" w:rsidP="00E222D5">
      <w:pPr>
        <w:pBdr>
          <w:top w:val="nil"/>
          <w:left w:val="nil"/>
          <w:bottom w:val="nil"/>
          <w:right w:val="nil"/>
          <w:between w:val="nil"/>
        </w:pBdr>
        <w:spacing w:before="120" w:line="276" w:lineRule="auto"/>
        <w:jc w:val="both"/>
        <w:rPr>
          <w:rFonts w:ascii="Times New Roman" w:eastAsia="Times New Roman" w:hAnsi="Times New Roman" w:cs="Times New Roman"/>
        </w:rPr>
      </w:pPr>
    </w:p>
    <w:p w14:paraId="4A130B1B"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mora regulatoria se obtiene de contrastar el universo de ámbitos de regulación que el artículo 7 de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008-CNC-2011 otorga al nivel central de gobierno frente a la regulación realmente emitida. No se ha emitido normativa sobre: </w:t>
      </w:r>
    </w:p>
    <w:p w14:paraId="579DECF7" w14:textId="77777777" w:rsidR="00D57475" w:rsidRPr="00D57475" w:rsidRDefault="00D57475" w:rsidP="00D57475">
      <w:pPr>
        <w:numPr>
          <w:ilvl w:val="0"/>
          <w:numId w:val="13"/>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Establecer estándares de construcción de infraestructura de riego y drenaje. </w:t>
      </w:r>
    </w:p>
    <w:p w14:paraId="6098979F" w14:textId="77777777" w:rsidR="00D57475" w:rsidRPr="00D57475" w:rsidRDefault="00D57475" w:rsidP="00D57475">
      <w:pPr>
        <w:numPr>
          <w:ilvl w:val="0"/>
          <w:numId w:val="13"/>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Establecer la estructura tarifaria de los servicios públicos de riego y drenaje. </w:t>
      </w:r>
    </w:p>
    <w:p w14:paraId="58FD8B12" w14:textId="77777777" w:rsidR="00D57475" w:rsidRDefault="00D57475" w:rsidP="00D57475">
      <w:pPr>
        <w:numPr>
          <w:ilvl w:val="0"/>
          <w:numId w:val="13"/>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Desarrollo agrario y productivo vinculado con la competencia.</w:t>
      </w:r>
    </w:p>
    <w:p w14:paraId="11CD295A" w14:textId="0F14F841"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La falta de regulación nacional, especialmente sobre la estructura tarifaria de los servicios de riego y drenaje, impiden a los gobiernos provinciales emitir su regulación local sobre estos mismos aspectos. En particular, la falta de fijación de estructuras tarifarias permite que se mantenga la situación previa a la descentralización de la competencia.</w:t>
      </w:r>
    </w:p>
    <w:p w14:paraId="2499E5DA" w14:textId="77777777" w:rsidR="003B28BA" w:rsidRPr="00D57475" w:rsidRDefault="003B28BA" w:rsidP="003B28BA">
      <w:pPr>
        <w:pBdr>
          <w:top w:val="nil"/>
          <w:left w:val="nil"/>
          <w:bottom w:val="nil"/>
          <w:right w:val="nil"/>
          <w:between w:val="nil"/>
        </w:pBdr>
        <w:spacing w:before="120" w:line="276" w:lineRule="auto"/>
        <w:jc w:val="both"/>
        <w:rPr>
          <w:rFonts w:ascii="Times New Roman" w:eastAsia="Times New Roman" w:hAnsi="Times New Roman" w:cs="Times New Roman"/>
        </w:rPr>
      </w:pPr>
    </w:p>
    <w:p w14:paraId="06B8262F"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Para el caso de sistemas de riego transferidos a los gobiernos provinciales, se venía aplicando la norma del art. 17 de la Ley de Aguas, introducida en la reforma de 2004, que prohíbe el cobro de tarifa básica a usuarios de los sistemas de riego. Tras la derogatoria de la Ley de Aguas por la Ley Orgánica de Recursos Hídricos, Usos y Aprovechamiento del Agua, no existe prohibición legal para cobrar tarifa básica.</w:t>
      </w:r>
    </w:p>
    <w:p w14:paraId="619D8D4C"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p w14:paraId="74428D99" w14:textId="24FB1DBC" w:rsidR="00D57475" w:rsidRPr="003B28BA" w:rsidRDefault="00D57475" w:rsidP="003B28BA">
      <w:pPr>
        <w:pStyle w:val="Prrafodelista"/>
        <w:numPr>
          <w:ilvl w:val="1"/>
          <w:numId w:val="21"/>
        </w:numPr>
        <w:tabs>
          <w:tab w:val="left" w:pos="993"/>
        </w:tabs>
        <w:spacing w:before="120" w:after="60" w:line="276" w:lineRule="auto"/>
        <w:jc w:val="both"/>
        <w:outlineLvl w:val="2"/>
        <w:rPr>
          <w:rFonts w:ascii="Times New Roman" w:eastAsia="Times New Roman" w:hAnsi="Times New Roman" w:cs="Times New Roman"/>
          <w:b/>
          <w:bCs/>
        </w:rPr>
      </w:pPr>
      <w:bookmarkStart w:id="22" w:name="_Toc123068893"/>
      <w:bookmarkStart w:id="23" w:name="_Toc123235767"/>
      <w:bookmarkStart w:id="24" w:name="_Toc123296922"/>
      <w:r w:rsidRPr="003B28BA">
        <w:rPr>
          <w:rFonts w:ascii="Times New Roman" w:eastAsia="Times New Roman" w:hAnsi="Times New Roman" w:cs="Times New Roman"/>
          <w:b/>
          <w:bCs/>
        </w:rPr>
        <w:t>Competencias relacionadas con dragado</w:t>
      </w:r>
      <w:bookmarkEnd w:id="22"/>
      <w:bookmarkEnd w:id="23"/>
      <w:bookmarkEnd w:id="24"/>
      <w:r w:rsidR="003B28BA">
        <w:rPr>
          <w:rFonts w:ascii="Times New Roman" w:eastAsia="Times New Roman" w:hAnsi="Times New Roman" w:cs="Times New Roman"/>
          <w:b/>
          <w:bCs/>
        </w:rPr>
        <w:t>:</w:t>
      </w:r>
    </w:p>
    <w:p w14:paraId="383F237D" w14:textId="77777777" w:rsidR="00D57475" w:rsidRPr="00D57475" w:rsidRDefault="00D57475" w:rsidP="00D57475">
      <w:pPr>
        <w:pStyle w:val="Prrafodelista"/>
        <w:tabs>
          <w:tab w:val="left" w:pos="993"/>
        </w:tabs>
        <w:spacing w:before="120" w:after="60" w:line="276" w:lineRule="auto"/>
        <w:ind w:left="426"/>
        <w:jc w:val="both"/>
        <w:outlineLvl w:val="2"/>
        <w:rPr>
          <w:rFonts w:ascii="Times New Roman" w:eastAsia="Times New Roman" w:hAnsi="Times New Roman" w:cs="Times New Roman"/>
          <w:b/>
          <w:bCs/>
          <w:sz w:val="24"/>
          <w:szCs w:val="24"/>
        </w:rPr>
      </w:pPr>
    </w:p>
    <w:p w14:paraId="69414474"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En materia de dragado, se ha identificado cinco problemas </w:t>
      </w:r>
      <w:proofErr w:type="gramStart"/>
      <w:r w:rsidRPr="00D57475">
        <w:rPr>
          <w:rFonts w:ascii="Times New Roman" w:eastAsia="Times New Roman" w:hAnsi="Times New Roman" w:cs="Times New Roman"/>
        </w:rPr>
        <w:t>inter relacionados</w:t>
      </w:r>
      <w:proofErr w:type="gramEnd"/>
      <w:r w:rsidRPr="00D57475">
        <w:rPr>
          <w:rFonts w:ascii="Times New Roman" w:eastAsia="Times New Roman" w:hAnsi="Times New Roman" w:cs="Times New Roman"/>
        </w:rPr>
        <w:t xml:space="preserve">, que serán desarrollados a continuación: </w:t>
      </w:r>
    </w:p>
    <w:p w14:paraId="07EC1260" w14:textId="77777777" w:rsidR="00D57475" w:rsidRPr="00D57475" w:rsidRDefault="00D57475" w:rsidP="00D57475">
      <w:pPr>
        <w:numPr>
          <w:ilvl w:val="0"/>
          <w:numId w:val="9"/>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Discrepancia sobre la forma de asignación de la competencia, </w:t>
      </w:r>
    </w:p>
    <w:p w14:paraId="0689A680" w14:textId="77777777" w:rsidR="00D57475" w:rsidRPr="00D57475" w:rsidRDefault="00D57475" w:rsidP="00D57475">
      <w:pPr>
        <w:numPr>
          <w:ilvl w:val="0"/>
          <w:numId w:val="9"/>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Mora presupuestaria, </w:t>
      </w:r>
    </w:p>
    <w:p w14:paraId="69C523C3" w14:textId="77777777" w:rsidR="00D57475" w:rsidRPr="00D57475" w:rsidRDefault="00D57475" w:rsidP="00D57475">
      <w:pPr>
        <w:numPr>
          <w:ilvl w:val="0"/>
          <w:numId w:val="9"/>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Mora regulatoria, </w:t>
      </w:r>
    </w:p>
    <w:p w14:paraId="4AF9D092" w14:textId="77777777" w:rsidR="00D57475" w:rsidRPr="00D57475" w:rsidRDefault="00D57475" w:rsidP="00D57475">
      <w:pPr>
        <w:numPr>
          <w:ilvl w:val="0"/>
          <w:numId w:val="9"/>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Insuficiente financiamiento para proyectos (nuevos y de operación y mantenimiento) y, finalmente </w:t>
      </w:r>
    </w:p>
    <w:p w14:paraId="6CC35DFB" w14:textId="77777777" w:rsidR="00D57475" w:rsidRPr="00D57475" w:rsidRDefault="00D57475" w:rsidP="00D57475">
      <w:pPr>
        <w:numPr>
          <w:ilvl w:val="0"/>
          <w:numId w:val="9"/>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Institucionalidad no clara. </w:t>
      </w:r>
    </w:p>
    <w:p w14:paraId="1DF96A6F" w14:textId="150B22DB" w:rsidR="00D57475" w:rsidRPr="003B28BA" w:rsidRDefault="00D57475" w:rsidP="003B28BA">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bookmarkStart w:id="25" w:name="_Toc123068894"/>
      <w:bookmarkStart w:id="26" w:name="_Toc123235768"/>
      <w:bookmarkStart w:id="27" w:name="_Toc123296923"/>
      <w:r w:rsidRPr="003B28BA">
        <w:rPr>
          <w:rFonts w:ascii="Times New Roman" w:eastAsia="Times New Roman" w:hAnsi="Times New Roman" w:cs="Times New Roman"/>
          <w:b/>
          <w:bCs/>
        </w:rPr>
        <w:t>Discrepancia sobre la forma de asignación de la competencia</w:t>
      </w:r>
      <w:bookmarkEnd w:id="25"/>
      <w:bookmarkEnd w:id="26"/>
      <w:bookmarkEnd w:id="27"/>
      <w:r w:rsidR="003B28BA">
        <w:rPr>
          <w:rFonts w:ascii="Times New Roman" w:eastAsia="Times New Roman" w:hAnsi="Times New Roman" w:cs="Times New Roman"/>
          <w:b/>
          <w:bCs/>
        </w:rPr>
        <w:t>:</w:t>
      </w:r>
    </w:p>
    <w:p w14:paraId="0474EEBB"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b/>
          <w:bCs/>
          <w:sz w:val="24"/>
          <w:szCs w:val="24"/>
        </w:rPr>
      </w:pPr>
    </w:p>
    <w:p w14:paraId="14F73D93" w14:textId="6744DA3D"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El principal problema identificado ha sido la discrepancia sobre qué es y qué efectos tiene la decisión tomada por el Consejo Nacional de Competencias en su Resolución 005-CNC-2012. Si bien formalmente, la Resolución 005-CNC-2012 es un acto normativo aprobado por un cuerpo colegiado, esta sección busca analizar jurídicamente qué es en términos materiales. Es decir, en su esencia, más que en el instrumento jurídico que contiene esta decisión.</w:t>
      </w:r>
    </w:p>
    <w:p w14:paraId="46ADD6F0" w14:textId="77777777" w:rsidR="003B28BA" w:rsidRPr="00D57475" w:rsidRDefault="003B28BA" w:rsidP="003B28BA">
      <w:pPr>
        <w:pBdr>
          <w:top w:val="nil"/>
          <w:left w:val="nil"/>
          <w:bottom w:val="nil"/>
          <w:right w:val="nil"/>
          <w:between w:val="nil"/>
        </w:pBdr>
        <w:spacing w:before="120" w:line="276" w:lineRule="auto"/>
        <w:jc w:val="both"/>
        <w:rPr>
          <w:rFonts w:ascii="Times New Roman" w:eastAsia="Times New Roman" w:hAnsi="Times New Roman" w:cs="Times New Roman"/>
        </w:rPr>
      </w:pPr>
    </w:p>
    <w:p w14:paraId="6C01E85F" w14:textId="161B91CD"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Por un lado, el Gobierno central estima que esa resolución ha regulado cómo funciona la concurrencia entre las competencias del Ejecutivo central y el nivel provincial de gobierno, en materia de dragado. Por otro lado, es importante resaltar que material y doctrinariamente, lo que se ha producido es una descentralización de la facultad de gestión de la competencia de dragado.</w:t>
      </w:r>
    </w:p>
    <w:p w14:paraId="53765253" w14:textId="77777777" w:rsidR="003B28BA" w:rsidRPr="00D57475" w:rsidRDefault="003B28BA" w:rsidP="003B28BA">
      <w:pPr>
        <w:pBdr>
          <w:top w:val="nil"/>
          <w:left w:val="nil"/>
          <w:bottom w:val="nil"/>
          <w:right w:val="nil"/>
          <w:between w:val="nil"/>
        </w:pBdr>
        <w:spacing w:before="120" w:line="276" w:lineRule="auto"/>
        <w:jc w:val="both"/>
        <w:rPr>
          <w:rFonts w:ascii="Times New Roman" w:eastAsia="Times New Roman" w:hAnsi="Times New Roman" w:cs="Times New Roman"/>
        </w:rPr>
      </w:pPr>
    </w:p>
    <w:p w14:paraId="203C78A7"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consecuencia directa de la forma de interpretar la Resolución 005-CNC-2012 como una descripción de la concurrencia o como una descentralización de la facultad de una competencia, es la decisión de transferir o no, los recursos asociados a una descentralización para cumplir el principio de descentralización con transferencia efectiva de recursos. Tanto la Constitución de 1998 como la Constitución actual (art. 273) establecen el principio de que no existe descentralización de competencias sin descentralización de recursos. </w:t>
      </w:r>
    </w:p>
    <w:p w14:paraId="271A1023" w14:textId="77777777" w:rsidR="003B28BA" w:rsidRDefault="003B28BA" w:rsidP="003B28BA">
      <w:pPr>
        <w:pBdr>
          <w:top w:val="nil"/>
          <w:left w:val="nil"/>
          <w:bottom w:val="nil"/>
          <w:right w:val="nil"/>
          <w:between w:val="nil"/>
        </w:pBdr>
        <w:spacing w:before="120" w:line="276" w:lineRule="auto"/>
        <w:jc w:val="both"/>
        <w:rPr>
          <w:rFonts w:ascii="Times New Roman" w:eastAsia="Times New Roman" w:hAnsi="Times New Roman" w:cs="Times New Roman"/>
        </w:rPr>
      </w:pPr>
    </w:p>
    <w:p w14:paraId="4AED6720" w14:textId="655C75A4"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El COOTAD, en su artículo 154, establece un procedimiento reglado de descentralización de competencias. La resolución de transferencia de competencia debe motivarse en una serie de pasos reglados: </w:t>
      </w:r>
    </w:p>
    <w:p w14:paraId="109A02E8" w14:textId="77777777" w:rsidR="00D57475" w:rsidRPr="00D57475" w:rsidRDefault="00D57475" w:rsidP="00D57475">
      <w:pPr>
        <w:numPr>
          <w:ilvl w:val="0"/>
          <w:numId w:val="10"/>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Obtención de informes habilitantes preparados por el Gobierno central (entidad rectora de la competencia a transferirse y Ministerio de Finanzas), </w:t>
      </w:r>
    </w:p>
    <w:p w14:paraId="7F6E2E4F" w14:textId="77777777" w:rsidR="00D57475" w:rsidRPr="00D57475" w:rsidRDefault="00D57475" w:rsidP="00D57475">
      <w:pPr>
        <w:numPr>
          <w:ilvl w:val="0"/>
          <w:numId w:val="10"/>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Obtención de informes de capacidad operativa presentados por cada gobierno autónomo descentralizado que participa en el proceso de transferencia de competencias </w:t>
      </w:r>
      <w:proofErr w:type="gramStart"/>
      <w:r w:rsidRPr="00D57475">
        <w:rPr>
          <w:rFonts w:ascii="Times New Roman" w:eastAsia="Times New Roman" w:hAnsi="Times New Roman" w:cs="Times New Roman"/>
        </w:rPr>
        <w:t>de acuerdo a</w:t>
      </w:r>
      <w:proofErr w:type="gramEnd"/>
      <w:r w:rsidRPr="00D57475">
        <w:rPr>
          <w:rFonts w:ascii="Times New Roman" w:eastAsia="Times New Roman" w:hAnsi="Times New Roman" w:cs="Times New Roman"/>
        </w:rPr>
        <w:t xml:space="preserve"> su nivel, </w:t>
      </w:r>
    </w:p>
    <w:p w14:paraId="40F37719" w14:textId="77777777" w:rsidR="00D57475" w:rsidRPr="00D57475" w:rsidRDefault="00D57475" w:rsidP="00D57475">
      <w:pPr>
        <w:numPr>
          <w:ilvl w:val="0"/>
          <w:numId w:val="10"/>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Clasificación de los gobiernos autónomos descentralizados en dos grupos: los que recibirán la transferencia de la competencia y quienes se someterán primero a un proceso de fortalecimiento institucional antes de recibir la competencia. </w:t>
      </w:r>
    </w:p>
    <w:p w14:paraId="572CD139" w14:textId="77777777" w:rsidR="00D57475" w:rsidRPr="00D57475" w:rsidRDefault="00D57475" w:rsidP="00D57475">
      <w:pPr>
        <w:numPr>
          <w:ilvl w:val="0"/>
          <w:numId w:val="10"/>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Conformación de una comisión de costeo de competencia y emisión de su informe. </w:t>
      </w:r>
    </w:p>
    <w:p w14:paraId="6D635B0F"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Tras estos pasos se emite la Resolución de transferencia de la competencia y luego se realiza seguimiento al cumplimiento de sus disposiciones, que generalmente se engloban en dos actividades: la entrega efectiva de recursos y la ejecución del proceso de fortalecimiento institucional para los GAD que lo necesiten. </w:t>
      </w:r>
      <w:proofErr w:type="gramStart"/>
      <w:r w:rsidRPr="00D57475">
        <w:rPr>
          <w:rFonts w:ascii="Times New Roman" w:eastAsia="Times New Roman" w:hAnsi="Times New Roman" w:cs="Times New Roman"/>
        </w:rPr>
        <w:t>Ninguno de estos pasos constan</w:t>
      </w:r>
      <w:proofErr w:type="gramEnd"/>
      <w:r w:rsidRPr="00D57475">
        <w:rPr>
          <w:rFonts w:ascii="Times New Roman" w:eastAsia="Times New Roman" w:hAnsi="Times New Roman" w:cs="Times New Roman"/>
        </w:rPr>
        <w:t xml:space="preserve"> en la motivación de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Esto permite concluir que no se consideró a esa resolución como una resolución de transferencia de competencias. Esta interpretación genera como consecuencia que en ciertos momentos el Gobierno central haya seguido la teoría de que no debía transferirse recursos por la efectiva transferencia de la facultad de gestión sobre la competencia de dragado. </w:t>
      </w:r>
    </w:p>
    <w:p w14:paraId="17A9491C" w14:textId="2D079541"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Sin embargo, hay motivos para calificar a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como una transferencia de competencias de acuerdo </w:t>
      </w:r>
      <w:r w:rsidR="003B28BA">
        <w:rPr>
          <w:rFonts w:ascii="Times New Roman" w:eastAsia="Times New Roman" w:hAnsi="Times New Roman" w:cs="Times New Roman"/>
        </w:rPr>
        <w:t>con</w:t>
      </w:r>
      <w:r w:rsidRPr="00D57475">
        <w:rPr>
          <w:rFonts w:ascii="Times New Roman" w:eastAsia="Times New Roman" w:hAnsi="Times New Roman" w:cs="Times New Roman"/>
        </w:rPr>
        <w:t xml:space="preserve"> la doctrina y la jurisprudencia sobre descentralización: </w:t>
      </w:r>
    </w:p>
    <w:p w14:paraId="546677FC" w14:textId="77777777" w:rsidR="00D57475" w:rsidRPr="00D57475" w:rsidRDefault="00D57475" w:rsidP="00D57475">
      <w:pPr>
        <w:numPr>
          <w:ilvl w:val="0"/>
          <w:numId w:val="14"/>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Por un lado, en materia doctrinaria, no se puede calificar a una competencia (como el dragado) de concurrente, pues la concurrencia más que una descripción de una competencia es una circunstancia en la que se encuentran dos o más competencias siendo aplicables sobre una misma realidad; y </w:t>
      </w:r>
    </w:p>
    <w:p w14:paraId="7A15DCF4" w14:textId="77777777" w:rsidR="00D57475" w:rsidRPr="00D57475" w:rsidRDefault="00D57475" w:rsidP="00D57475">
      <w:pPr>
        <w:numPr>
          <w:ilvl w:val="0"/>
          <w:numId w:val="14"/>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Por otro lado, en la práctica previo a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la gestión de dragado, relleno hidráulico y limpieza de ríos, presas, embalses y esteros era atribución del Estado central y, tras dicha Resolución, dicha gestión pasó a los gobiernos provinciales. </w:t>
      </w:r>
    </w:p>
    <w:p w14:paraId="33CA77C0" w14:textId="3778A3C0"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Cuando hablamos de concurrencia de competencias, no estamos ante un listado de competencias concurrentes comparable a las listas de “competencias exclusivas” de cada nivel de gobierno que enumeran los artículos 261 a 267 de la Constitución de la República. Más bien la manera de comprender la concurrencia es como una circunstancia, cuando confluyen dos o más competencias exclusivas. El artículo 114 del COOTAD define las competencias exclusivas, que ya están enumeradas en la Constitución para cada nivel de gobierno. El artículo 115 del COOTAD describe como competencias concurrentes a “aquellas cuya titularidad corresponde a varios niveles de gobierno </w:t>
      </w:r>
      <w:proofErr w:type="gramStart"/>
      <w:r w:rsidRPr="00D57475">
        <w:rPr>
          <w:rFonts w:ascii="Times New Roman" w:eastAsia="Times New Roman" w:hAnsi="Times New Roman" w:cs="Times New Roman"/>
        </w:rPr>
        <w:t>en razón del</w:t>
      </w:r>
      <w:proofErr w:type="gramEnd"/>
      <w:r w:rsidRPr="00D57475">
        <w:rPr>
          <w:rFonts w:ascii="Times New Roman" w:eastAsia="Times New Roman" w:hAnsi="Times New Roman" w:cs="Times New Roman"/>
        </w:rPr>
        <w:t xml:space="preserve"> sector o materia”.</w:t>
      </w:r>
    </w:p>
    <w:p w14:paraId="5F5BCE03" w14:textId="77777777" w:rsidR="000168BF" w:rsidRPr="00D57475" w:rsidRDefault="000168BF" w:rsidP="000168BF">
      <w:pPr>
        <w:pBdr>
          <w:top w:val="nil"/>
          <w:left w:val="nil"/>
          <w:bottom w:val="nil"/>
          <w:right w:val="nil"/>
          <w:between w:val="nil"/>
        </w:pBdr>
        <w:spacing w:before="120" w:line="276" w:lineRule="auto"/>
        <w:jc w:val="both"/>
        <w:rPr>
          <w:rFonts w:ascii="Times New Roman" w:eastAsia="Times New Roman" w:hAnsi="Times New Roman" w:cs="Times New Roman"/>
        </w:rPr>
      </w:pPr>
    </w:p>
    <w:p w14:paraId="7960C502" w14:textId="5FFB355C"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El artículo 126 del COOTAD describe que la concurrencia ocurre en la gestión de la prestación de servicios públicos. Permite que el nivel central pueda delegar la gestión de una competencia a través de un convenio. La única excepción a esta descentralización territorial está en los sectores privativos.</w:t>
      </w:r>
    </w:p>
    <w:p w14:paraId="06DDEC22" w14:textId="77777777" w:rsidR="000168BF" w:rsidRDefault="000168BF" w:rsidP="000168BF">
      <w:pPr>
        <w:pStyle w:val="Prrafodelista"/>
        <w:rPr>
          <w:rFonts w:ascii="Times New Roman" w:eastAsia="Times New Roman" w:hAnsi="Times New Roman" w:cs="Times New Roman"/>
        </w:rPr>
      </w:pPr>
    </w:p>
    <w:p w14:paraId="1072C9C7" w14:textId="2B51777C"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El caso más palmario de ejercicio concurrente se produce con la competencia “exclusiva” de registro de la propiedad, que compete al nivel municipal de gobierno, pero sobre el cual el artículo 265 de la Constitución dispone que sea administrado “de manera concurrente” entre el Ejecutivo y las municipalidades.</w:t>
      </w:r>
    </w:p>
    <w:p w14:paraId="4E6C2FE9" w14:textId="77777777" w:rsidR="000168BF" w:rsidRDefault="000168BF" w:rsidP="000168BF">
      <w:pPr>
        <w:pStyle w:val="Prrafodelista"/>
        <w:rPr>
          <w:rFonts w:ascii="Times New Roman" w:eastAsia="Times New Roman" w:hAnsi="Times New Roman" w:cs="Times New Roman"/>
        </w:rPr>
      </w:pPr>
    </w:p>
    <w:p w14:paraId="1EB38813"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titularidad de las facultades para la competencia de dragado se encuentra desarrollada en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donde se distribuyen las facultades en </w:t>
      </w:r>
      <w:r w:rsidRPr="00D57475">
        <w:rPr>
          <w:rFonts w:ascii="Times New Roman" w:eastAsia="Times New Roman" w:hAnsi="Times New Roman" w:cs="Times New Roman"/>
        </w:rPr>
        <w:lastRenderedPageBreak/>
        <w:t xml:space="preserve">función del nivel territorial. El hecho de que la titularidad de cada facultad esté asignada a distintos niveles de gobierno vuelve concurrente a la competencia de dragado. Cabe reiterar que las facultades son, </w:t>
      </w:r>
      <w:proofErr w:type="gramStart"/>
      <w:r w:rsidRPr="00D57475">
        <w:rPr>
          <w:rFonts w:ascii="Times New Roman" w:eastAsia="Times New Roman" w:hAnsi="Times New Roman" w:cs="Times New Roman"/>
        </w:rPr>
        <w:t>de acuerdo al</w:t>
      </w:r>
      <w:proofErr w:type="gramEnd"/>
      <w:r w:rsidRPr="00D57475">
        <w:rPr>
          <w:rFonts w:ascii="Times New Roman" w:eastAsia="Times New Roman" w:hAnsi="Times New Roman" w:cs="Times New Roman"/>
        </w:rPr>
        <w:t xml:space="preserve"> artículo 116 del COOTAD, atribuciones para el ejercicio de una competencia. </w:t>
      </w:r>
    </w:p>
    <w:p w14:paraId="6877FDE4"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30"/>
        <w:gridCol w:w="3523"/>
        <w:gridCol w:w="2694"/>
      </w:tblGrid>
      <w:tr w:rsidR="00D57475" w:rsidRPr="00D57475" w14:paraId="4C00B0C0" w14:textId="77777777" w:rsidTr="00172939">
        <w:trPr>
          <w:jc w:val="center"/>
        </w:trPr>
        <w:tc>
          <w:tcPr>
            <w:tcW w:w="14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40E7C"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Facultad</w:t>
            </w:r>
          </w:p>
        </w:tc>
        <w:tc>
          <w:tcPr>
            <w:tcW w:w="35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C9226"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Nivel central de gobierno</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3F933F"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Nivel provincial de gobierno</w:t>
            </w:r>
          </w:p>
        </w:tc>
      </w:tr>
      <w:tr w:rsidR="00D57475" w:rsidRPr="00D57475" w14:paraId="227C4DC1" w14:textId="77777777" w:rsidTr="00172939">
        <w:trPr>
          <w:jc w:val="center"/>
        </w:trPr>
        <w:tc>
          <w:tcPr>
            <w:tcW w:w="14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99FEC"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Rectoría</w:t>
            </w:r>
          </w:p>
        </w:tc>
        <w:tc>
          <w:tcPr>
            <w:tcW w:w="35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90956"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Rectoría nacional (definir lineamientos y directrices nacionales)</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7F198"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w:t>
            </w:r>
          </w:p>
        </w:tc>
      </w:tr>
      <w:tr w:rsidR="00D57475" w:rsidRPr="00D57475" w14:paraId="6361CF1A" w14:textId="77777777" w:rsidTr="00172939">
        <w:trPr>
          <w:jc w:val="center"/>
        </w:trPr>
        <w:tc>
          <w:tcPr>
            <w:tcW w:w="14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FB06B"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Planificación</w:t>
            </w:r>
          </w:p>
        </w:tc>
        <w:tc>
          <w:tcPr>
            <w:tcW w:w="35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FC166"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Planificación nacional (deberá considerar los planes provinciales)</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B5FA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Planificación local</w:t>
            </w:r>
          </w:p>
        </w:tc>
      </w:tr>
      <w:tr w:rsidR="00D57475" w:rsidRPr="00D57475" w14:paraId="0157EFB6" w14:textId="77777777" w:rsidTr="00172939">
        <w:trPr>
          <w:jc w:val="center"/>
        </w:trPr>
        <w:tc>
          <w:tcPr>
            <w:tcW w:w="14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30A30"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Regulación</w:t>
            </w:r>
          </w:p>
        </w:tc>
        <w:tc>
          <w:tcPr>
            <w:tcW w:w="35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AA2F0"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Regulación nacional (Autoridad Única del Agua)</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9A04F"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Emitir normativa local de riego y drenaje, en el marco de la regulación nacional</w:t>
            </w:r>
          </w:p>
        </w:tc>
      </w:tr>
      <w:tr w:rsidR="00D57475" w:rsidRPr="00D57475" w14:paraId="1E909B38" w14:textId="77777777" w:rsidTr="00172939">
        <w:trPr>
          <w:jc w:val="center"/>
        </w:trPr>
        <w:tc>
          <w:tcPr>
            <w:tcW w:w="14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3DA15"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Gestión</w:t>
            </w:r>
          </w:p>
        </w:tc>
        <w:tc>
          <w:tcPr>
            <w:tcW w:w="35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21D9D"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Prestar asistencia técnica a gobiernos provinciales, a fuentes de financiamiento y mantener embalses y presas a cargo de </w:t>
            </w:r>
            <w:proofErr w:type="spellStart"/>
            <w:r w:rsidRPr="00D57475">
              <w:rPr>
                <w:rFonts w:ascii="Times New Roman" w:eastAsia="Times New Roman" w:hAnsi="Times New Roman" w:cs="Times New Roman"/>
              </w:rPr>
              <w:t>Senagua</w:t>
            </w:r>
            <w:proofErr w:type="spellEnd"/>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6E80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Ejecutar obras de dragado Aplicar tarifas por la prestación de servicio Operar y mantener el equipo de dragado (se transfieren cuatro dragas a cuatro provincias) Levantar información para construcción de indicadores de evaluación Establecer mecanismos de coordinación con el nivel municipal Ejecución de obras de emergencia</w:t>
            </w:r>
          </w:p>
        </w:tc>
      </w:tr>
      <w:tr w:rsidR="00D57475" w:rsidRPr="00D57475" w14:paraId="5F899248" w14:textId="77777777" w:rsidTr="00172939">
        <w:trPr>
          <w:jc w:val="center"/>
        </w:trPr>
        <w:tc>
          <w:tcPr>
            <w:tcW w:w="14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9F6B6E"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Control</w:t>
            </w:r>
          </w:p>
        </w:tc>
        <w:tc>
          <w:tcPr>
            <w:tcW w:w="35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92001"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Velar por el cumplimiento de planes de dragado. Autorizar actividades de dragado. Autorizar operación de dragas Establecer políticas tarifarias Definir indicadores de evaluación Otorgar la matrícula de dragas</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DC208"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w:t>
            </w:r>
          </w:p>
        </w:tc>
      </w:tr>
    </w:tbl>
    <w:p w14:paraId="3BBDCB25"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p w14:paraId="7B270EFF" w14:textId="4022B7B3"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La Disposición Transitoria Primera dio 30 días de plazo para que el Gobierno central entregue materialmente cuatro dragas a los gobiernos provinciales de: Guayas, Manabí, Los Ríos y El Oro. La Disposición Transitoria Segunda exige que los gobiernos provinciales receptores de dichos activos continúen los trabajos previamente asumidos por SENAGUA. Esta redacción constituye materialmente una transferencia de la facultad de gestión, que antes de la Resolución estaba en manos del nivel central de gobierno.</w:t>
      </w:r>
    </w:p>
    <w:p w14:paraId="60BE89DB" w14:textId="77777777" w:rsidR="000168BF" w:rsidRPr="00D57475" w:rsidRDefault="000168BF" w:rsidP="000168BF">
      <w:pPr>
        <w:pBdr>
          <w:top w:val="nil"/>
          <w:left w:val="nil"/>
          <w:bottom w:val="nil"/>
          <w:right w:val="nil"/>
          <w:between w:val="nil"/>
        </w:pBdr>
        <w:spacing w:before="120" w:line="276" w:lineRule="auto"/>
        <w:jc w:val="both"/>
        <w:rPr>
          <w:rFonts w:ascii="Times New Roman" w:eastAsia="Times New Roman" w:hAnsi="Times New Roman" w:cs="Times New Roman"/>
        </w:rPr>
      </w:pPr>
    </w:p>
    <w:p w14:paraId="2477548F"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Para facilitar la comprensión de esta circunstancia, se presenta un gráfico descriptivo de la situación creada a partir de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w:t>
      </w:r>
    </w:p>
    <w:p w14:paraId="10F3B89C"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tbl>
      <w:tblPr>
        <w:tblW w:w="7654" w:type="dxa"/>
        <w:tblInd w:w="418" w:type="dxa"/>
        <w:tblCellMar>
          <w:top w:w="15" w:type="dxa"/>
          <w:left w:w="15" w:type="dxa"/>
          <w:bottom w:w="15" w:type="dxa"/>
          <w:right w:w="15" w:type="dxa"/>
        </w:tblCellMar>
        <w:tblLook w:val="04A0" w:firstRow="1" w:lastRow="0" w:firstColumn="1" w:lastColumn="0" w:noHBand="0" w:noVBand="1"/>
      </w:tblPr>
      <w:tblGrid>
        <w:gridCol w:w="1417"/>
        <w:gridCol w:w="2977"/>
        <w:gridCol w:w="3260"/>
      </w:tblGrid>
      <w:tr w:rsidR="00D57475" w:rsidRPr="00D57475" w14:paraId="3BC77605" w14:textId="77777777" w:rsidTr="00172939">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DF729"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Facultad / Situación</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FCC77"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 xml:space="preserve">Previo a la Resolución </w:t>
            </w:r>
            <w:proofErr w:type="spellStart"/>
            <w:r w:rsidRPr="00D57475">
              <w:rPr>
                <w:rFonts w:ascii="Times New Roman" w:eastAsia="Times New Roman" w:hAnsi="Times New Roman" w:cs="Times New Roman"/>
                <w:b/>
                <w:bCs/>
              </w:rPr>
              <w:t>Nº</w:t>
            </w:r>
            <w:proofErr w:type="spellEnd"/>
            <w:r w:rsidRPr="00D57475">
              <w:rPr>
                <w:rFonts w:ascii="Times New Roman" w:eastAsia="Times New Roman" w:hAnsi="Times New Roman" w:cs="Times New Roman"/>
                <w:b/>
                <w:bCs/>
              </w:rPr>
              <w:t xml:space="preserve"> 005-CNC-2012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53D2B6"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 xml:space="preserve">Posterior a la Resolución </w:t>
            </w:r>
            <w:proofErr w:type="spellStart"/>
            <w:r w:rsidRPr="00D57475">
              <w:rPr>
                <w:rFonts w:ascii="Times New Roman" w:eastAsia="Times New Roman" w:hAnsi="Times New Roman" w:cs="Times New Roman"/>
                <w:b/>
                <w:bCs/>
              </w:rPr>
              <w:t>Nº</w:t>
            </w:r>
            <w:proofErr w:type="spellEnd"/>
            <w:r w:rsidRPr="00D57475">
              <w:rPr>
                <w:rFonts w:ascii="Times New Roman" w:eastAsia="Times New Roman" w:hAnsi="Times New Roman" w:cs="Times New Roman"/>
                <w:b/>
                <w:bCs/>
              </w:rPr>
              <w:t xml:space="preserve"> 005-CNC-2012</w:t>
            </w:r>
          </w:p>
        </w:tc>
      </w:tr>
      <w:tr w:rsidR="00D57475" w:rsidRPr="00D57475" w14:paraId="061094DF" w14:textId="77777777" w:rsidTr="00172939">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778D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Rectoría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437A3"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7262F"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w:t>
            </w:r>
          </w:p>
        </w:tc>
      </w:tr>
      <w:tr w:rsidR="00D57475" w:rsidRPr="00D57475" w14:paraId="2C412AC5" w14:textId="77777777" w:rsidTr="00172939">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2BE08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Planificación</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1EA72"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BE8DC"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Planificación nacional: Estado central Planificación provincial: GAD Provinciales</w:t>
            </w:r>
          </w:p>
        </w:tc>
      </w:tr>
      <w:tr w:rsidR="00D57475" w:rsidRPr="00D57475" w14:paraId="3556C4BC" w14:textId="77777777" w:rsidTr="00172939">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2A227"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Regulación</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3A328"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 (Ministerio a cargo del transporte fluvial)</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7326F"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w:t>
            </w:r>
          </w:p>
        </w:tc>
      </w:tr>
      <w:tr w:rsidR="00D57475" w:rsidRPr="00D57475" w14:paraId="63841B89" w14:textId="77777777" w:rsidTr="00172939">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6362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Control</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18C93E"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 (Ministerio del Ambiente)</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D1D26"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Gobierno central (Ministerio del Ambiente)</w:t>
            </w:r>
          </w:p>
        </w:tc>
      </w:tr>
      <w:tr w:rsidR="00D57475" w:rsidRPr="00D57475" w14:paraId="4464F25A" w14:textId="77777777" w:rsidTr="00172939">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143B7"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lastRenderedPageBreak/>
              <w:t>Gestión</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2FA15E"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Gobierno central (SENAGUA)</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4E5D7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GAD Provinciales</w:t>
            </w:r>
          </w:p>
        </w:tc>
      </w:tr>
    </w:tbl>
    <w:p w14:paraId="6FB24926"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p w14:paraId="25AD2A92"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La controversia sobre si se trata de una transferencia de una facultad o si ha sido solo una organización del ejercicio concurrente de una competencia no se limita a ser una diferencia de enfoques, sino que tiene un efecto concreto, el cual es la mora presupuestaria.</w:t>
      </w:r>
    </w:p>
    <w:p w14:paraId="4EBC6C7C" w14:textId="77777777" w:rsidR="000168BF" w:rsidRDefault="000168BF" w:rsidP="000168BF">
      <w:pPr>
        <w:tabs>
          <w:tab w:val="left" w:pos="993"/>
        </w:tabs>
        <w:spacing w:before="120" w:after="60" w:line="276" w:lineRule="auto"/>
        <w:jc w:val="both"/>
        <w:outlineLvl w:val="2"/>
        <w:rPr>
          <w:rFonts w:ascii="Times New Roman" w:eastAsia="Times New Roman" w:hAnsi="Times New Roman" w:cs="Times New Roman"/>
        </w:rPr>
      </w:pPr>
      <w:bookmarkStart w:id="28" w:name="_Toc123068895"/>
      <w:bookmarkStart w:id="29" w:name="_Toc123235769"/>
      <w:bookmarkStart w:id="30" w:name="_Toc123296924"/>
    </w:p>
    <w:p w14:paraId="5F496D77" w14:textId="1B7BF1AB" w:rsidR="00D57475" w:rsidRPr="000168BF" w:rsidRDefault="00D57475" w:rsidP="000168BF">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r w:rsidRPr="000168BF">
        <w:rPr>
          <w:rFonts w:ascii="Times New Roman" w:eastAsia="Times New Roman" w:hAnsi="Times New Roman" w:cs="Times New Roman"/>
          <w:b/>
          <w:bCs/>
        </w:rPr>
        <w:t>Mora presupuestaria</w:t>
      </w:r>
      <w:bookmarkEnd w:id="28"/>
      <w:bookmarkEnd w:id="29"/>
      <w:bookmarkEnd w:id="30"/>
      <w:r w:rsidR="000168BF" w:rsidRPr="000168BF">
        <w:rPr>
          <w:rFonts w:ascii="Times New Roman" w:eastAsia="Times New Roman" w:hAnsi="Times New Roman" w:cs="Times New Roman"/>
          <w:b/>
          <w:bCs/>
        </w:rPr>
        <w:t>:</w:t>
      </w:r>
    </w:p>
    <w:p w14:paraId="1EF946DF"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sz w:val="24"/>
          <w:szCs w:val="24"/>
        </w:rPr>
      </w:pPr>
    </w:p>
    <w:p w14:paraId="5C20AE47" w14:textId="7CF2E5B0"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Si se hubiera conformado una comisión de costeo de competencia y se hubiera elaborado un informe técnico en términos financieros de costeo de la competencia,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hubiese contenido un articulado que desarrolle fórmulas para calcular los montos a transferir </w:t>
      </w:r>
      <w:proofErr w:type="gramStart"/>
      <w:r w:rsidRPr="00D57475">
        <w:rPr>
          <w:rFonts w:ascii="Times New Roman" w:eastAsia="Times New Roman" w:hAnsi="Times New Roman" w:cs="Times New Roman"/>
        </w:rPr>
        <w:t>conjuntamente con</w:t>
      </w:r>
      <w:proofErr w:type="gramEnd"/>
      <w:r w:rsidRPr="00D57475">
        <w:rPr>
          <w:rFonts w:ascii="Times New Roman" w:eastAsia="Times New Roman" w:hAnsi="Times New Roman" w:cs="Times New Roman"/>
        </w:rPr>
        <w:t xml:space="preserve"> la traslación de la facultad de gestión, que hasta el 26 de abril del 2012 residió en el Gobierno central, y que actualmente reside en el nivel provincial de gobierno.</w:t>
      </w:r>
    </w:p>
    <w:p w14:paraId="1049006E" w14:textId="77777777" w:rsidR="000168BF" w:rsidRDefault="000168BF" w:rsidP="000168BF">
      <w:pPr>
        <w:pBdr>
          <w:top w:val="nil"/>
          <w:left w:val="nil"/>
          <w:bottom w:val="nil"/>
          <w:right w:val="nil"/>
          <w:between w:val="nil"/>
        </w:pBdr>
        <w:spacing w:before="120" w:line="276" w:lineRule="auto"/>
        <w:jc w:val="both"/>
        <w:rPr>
          <w:rFonts w:ascii="Times New Roman" w:eastAsia="Times New Roman" w:hAnsi="Times New Roman" w:cs="Times New Roman"/>
        </w:rPr>
      </w:pPr>
    </w:p>
    <w:p w14:paraId="6CCACEC1" w14:textId="29E6A4B2"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Efectivamente, la Resolución del CNC de 2012 no se materializó en ese año en una transferencia económica, pero en 2013, SENAGUA solicitó al Ministerio de Economía y Finanzas incluir un presupuesto para transferir a los gobiernos provinciales por concepto de operación y mantenimiento de dragas.</w:t>
      </w:r>
    </w:p>
    <w:p w14:paraId="2CE5818F" w14:textId="77777777" w:rsidR="000168BF" w:rsidRDefault="000168BF" w:rsidP="000168BF">
      <w:pPr>
        <w:pStyle w:val="Prrafodelista"/>
        <w:rPr>
          <w:rFonts w:ascii="Times New Roman" w:eastAsia="Times New Roman" w:hAnsi="Times New Roman" w:cs="Times New Roman"/>
        </w:rPr>
      </w:pPr>
    </w:p>
    <w:p w14:paraId="3B6AB0B5" w14:textId="694F393D"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En febrero de 2014, el Ministerio de Economía y Finanzas entregó US$ 3’203.363,92 a SENAGUA, por concepto de operación y mantenimiento de las dragas descritas en la Disposición Transitoria Primera de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En mayo de 2014, SENAGUA transfirió bajo convenio un monto de US$ 800.840,98, por concepto de operación y mantenimiento de la draga Poza Honda.</w:t>
      </w:r>
    </w:p>
    <w:p w14:paraId="7CECF284" w14:textId="77777777" w:rsidR="000168BF" w:rsidRDefault="000168BF" w:rsidP="000168BF">
      <w:pPr>
        <w:pStyle w:val="Prrafodelista"/>
        <w:rPr>
          <w:rFonts w:ascii="Times New Roman" w:eastAsia="Times New Roman" w:hAnsi="Times New Roman" w:cs="Times New Roman"/>
        </w:rPr>
      </w:pPr>
    </w:p>
    <w:p w14:paraId="0709ED7E" w14:textId="7085801B"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Inesperadamente durante 2014, el gobierno de la época cambió de criterio y concluyó que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 no exigía transferencia de recursos y suspendió toda transferencia. El saldo de US$ 2’105.</w:t>
      </w:r>
      <w:proofErr w:type="gramStart"/>
      <w:r w:rsidRPr="00D57475">
        <w:rPr>
          <w:rFonts w:ascii="Times New Roman" w:eastAsia="Times New Roman" w:hAnsi="Times New Roman" w:cs="Times New Roman"/>
        </w:rPr>
        <w:t>488,oo</w:t>
      </w:r>
      <w:proofErr w:type="gramEnd"/>
      <w:r w:rsidRPr="00D57475">
        <w:rPr>
          <w:rFonts w:ascii="Times New Roman" w:eastAsia="Times New Roman" w:hAnsi="Times New Roman" w:cs="Times New Roman"/>
        </w:rPr>
        <w:t xml:space="preserve"> producto de la transferencia recibida en enero por </w:t>
      </w:r>
      <w:proofErr w:type="spellStart"/>
      <w:r w:rsidRPr="00D57475">
        <w:rPr>
          <w:rFonts w:ascii="Times New Roman" w:eastAsia="Times New Roman" w:hAnsi="Times New Roman" w:cs="Times New Roman"/>
        </w:rPr>
        <w:t>Senagua</w:t>
      </w:r>
      <w:proofErr w:type="spellEnd"/>
      <w:r w:rsidRPr="00D57475">
        <w:rPr>
          <w:rFonts w:ascii="Times New Roman" w:eastAsia="Times New Roman" w:hAnsi="Times New Roman" w:cs="Times New Roman"/>
        </w:rPr>
        <w:t xml:space="preserve"> fue devuelto al Ministerio de Finanzas alegando que esa obligación no tenía sustento en la Resolución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005-CNC-2012.</w:t>
      </w:r>
    </w:p>
    <w:p w14:paraId="3BD65EE9" w14:textId="77777777" w:rsidR="000168BF" w:rsidRDefault="000168BF" w:rsidP="000168BF">
      <w:pPr>
        <w:pStyle w:val="Prrafodelista"/>
        <w:rPr>
          <w:rFonts w:ascii="Times New Roman" w:eastAsia="Times New Roman" w:hAnsi="Times New Roman" w:cs="Times New Roman"/>
        </w:rPr>
      </w:pPr>
    </w:p>
    <w:p w14:paraId="22E8B72B"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Desde 2014 en adelante, el Gobierno central ha venido sosteniendo la tesis de que no corresponde una transferencia de recursos al no haberse producido una transferencia de la competencia de dragado, sino una “regulación del ejercicio concurrente” de dicha competencia de dragado. De todos modos, sea cual fuere la interpretación jurídica, existió una transferencia de la facultad de gestión, la cual debe acompañarse de la consecuente transferencia de recursos para cumplir con el artículo 273 de la Constitución de la República. </w:t>
      </w:r>
    </w:p>
    <w:p w14:paraId="54C7AF88" w14:textId="77777777" w:rsidR="00D57475" w:rsidRPr="00D57475" w:rsidRDefault="00D57475" w:rsidP="00D57475">
      <w:pPr>
        <w:pBdr>
          <w:top w:val="nil"/>
          <w:left w:val="nil"/>
          <w:bottom w:val="nil"/>
          <w:right w:val="nil"/>
          <w:between w:val="nil"/>
        </w:pBdr>
        <w:spacing w:line="276" w:lineRule="auto"/>
        <w:jc w:val="both"/>
        <w:rPr>
          <w:rFonts w:ascii="Times New Roman" w:eastAsia="Times New Roman" w:hAnsi="Times New Roman" w:cs="Times New Roman"/>
        </w:rPr>
      </w:pPr>
    </w:p>
    <w:p w14:paraId="0BA5D61E" w14:textId="14009CD3" w:rsidR="00D57475" w:rsidRPr="000168BF" w:rsidRDefault="00D57475" w:rsidP="000168BF">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bookmarkStart w:id="31" w:name="_Toc123068896"/>
      <w:bookmarkStart w:id="32" w:name="_Toc123235770"/>
      <w:bookmarkStart w:id="33" w:name="_Toc123296925"/>
      <w:r w:rsidRPr="000168BF">
        <w:rPr>
          <w:rFonts w:ascii="Times New Roman" w:eastAsia="Times New Roman" w:hAnsi="Times New Roman" w:cs="Times New Roman"/>
          <w:b/>
          <w:bCs/>
        </w:rPr>
        <w:t>Mora regulatoria en materia de dragado</w:t>
      </w:r>
      <w:bookmarkEnd w:id="31"/>
      <w:bookmarkEnd w:id="32"/>
      <w:bookmarkEnd w:id="33"/>
      <w:r w:rsidR="000168BF" w:rsidRPr="000168BF">
        <w:rPr>
          <w:rFonts w:ascii="Times New Roman" w:eastAsia="Times New Roman" w:hAnsi="Times New Roman" w:cs="Times New Roman"/>
          <w:b/>
          <w:bCs/>
        </w:rPr>
        <w:t>:</w:t>
      </w:r>
    </w:p>
    <w:p w14:paraId="7413EAFA"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sz w:val="24"/>
          <w:szCs w:val="24"/>
        </w:rPr>
      </w:pPr>
    </w:p>
    <w:p w14:paraId="3B2A6DDC"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Otra omisión del Gobierno central en materia de dragado es la falta de regulación de escala nacional, lo que dificulta la regulación a nivel local. El artículo 8 de la Resolución 005-CNC-2012 faculta al Gobierno central a regular: </w:t>
      </w:r>
    </w:p>
    <w:p w14:paraId="65C56045" w14:textId="77777777" w:rsidR="00D57475" w:rsidRPr="00D57475" w:rsidRDefault="00D57475" w:rsidP="00D57475">
      <w:pPr>
        <w:numPr>
          <w:ilvl w:val="0"/>
          <w:numId w:val="11"/>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Estándares para la prestación de los servicios: dragado, relleno hidráulico y limpieza de cauces de cuerpos de agua, </w:t>
      </w:r>
    </w:p>
    <w:p w14:paraId="600B1E9E" w14:textId="77777777" w:rsidR="00D57475" w:rsidRPr="00D57475" w:rsidRDefault="00D57475" w:rsidP="00D57475">
      <w:pPr>
        <w:numPr>
          <w:ilvl w:val="0"/>
          <w:numId w:val="11"/>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Requisitos para el inicio de las operaciones de dragado, relleno hidráulico y limpieza de cauces de cuerpos de agua, </w:t>
      </w:r>
    </w:p>
    <w:p w14:paraId="25A26E4A" w14:textId="77777777" w:rsidR="00D57475" w:rsidRPr="00D57475" w:rsidRDefault="00D57475" w:rsidP="00D57475">
      <w:pPr>
        <w:numPr>
          <w:ilvl w:val="0"/>
          <w:numId w:val="11"/>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Requisitos para la adquisición de dragas, y </w:t>
      </w:r>
    </w:p>
    <w:p w14:paraId="636DCD05" w14:textId="77777777" w:rsidR="00D57475" w:rsidRPr="00D57475" w:rsidRDefault="00D57475" w:rsidP="00D57475">
      <w:pPr>
        <w:numPr>
          <w:ilvl w:val="0"/>
          <w:numId w:val="11"/>
        </w:numPr>
        <w:spacing w:before="120" w:after="100" w:afterAutospacing="1" w:line="276" w:lineRule="auto"/>
        <w:jc w:val="both"/>
        <w:rPr>
          <w:rFonts w:ascii="Times New Roman" w:eastAsia="Times New Roman" w:hAnsi="Times New Roman" w:cs="Times New Roman"/>
        </w:rPr>
      </w:pPr>
      <w:proofErr w:type="gramStart"/>
      <w:r w:rsidRPr="00D57475">
        <w:rPr>
          <w:rFonts w:ascii="Times New Roman" w:eastAsia="Times New Roman" w:hAnsi="Times New Roman" w:cs="Times New Roman"/>
        </w:rPr>
        <w:t>regular mecanismos</w:t>
      </w:r>
      <w:proofErr w:type="gramEnd"/>
      <w:r w:rsidRPr="00D57475">
        <w:rPr>
          <w:rFonts w:ascii="Times New Roman" w:eastAsia="Times New Roman" w:hAnsi="Times New Roman" w:cs="Times New Roman"/>
        </w:rPr>
        <w:t xml:space="preserve"> de control para casos de omisión e ineficacia en la prestación de dichos tres servicios. </w:t>
      </w:r>
    </w:p>
    <w:p w14:paraId="065F253E"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De todos estos ámbitos de regulación, únicamente se ha emitido, por parte de </w:t>
      </w:r>
      <w:proofErr w:type="spellStart"/>
      <w:r w:rsidRPr="00D57475">
        <w:rPr>
          <w:rFonts w:ascii="Times New Roman" w:eastAsia="Times New Roman" w:hAnsi="Times New Roman" w:cs="Times New Roman"/>
        </w:rPr>
        <w:t>Senagua</w:t>
      </w:r>
      <w:proofErr w:type="spellEnd"/>
      <w:r w:rsidRPr="00D57475">
        <w:rPr>
          <w:rFonts w:ascii="Times New Roman" w:eastAsia="Times New Roman" w:hAnsi="Times New Roman" w:cs="Times New Roman"/>
        </w:rPr>
        <w:t xml:space="preserve">, un Acuerdo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1266, que aprueba cuatro manuales: </w:t>
      </w:r>
    </w:p>
    <w:p w14:paraId="0B2468A2" w14:textId="77777777" w:rsidR="00D57475" w:rsidRPr="00D57475" w:rsidRDefault="00D57475" w:rsidP="00D57475">
      <w:pPr>
        <w:numPr>
          <w:ilvl w:val="0"/>
          <w:numId w:val="15"/>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Procedimientos para otorgar autorización para proyectos de dragado, relleno hidráulico y limpieza de ríos, presas, embalses y esteros; </w:t>
      </w:r>
    </w:p>
    <w:p w14:paraId="0ECECFAB" w14:textId="77777777" w:rsidR="00D57475" w:rsidRPr="00D57475" w:rsidRDefault="00D57475" w:rsidP="00D57475">
      <w:pPr>
        <w:numPr>
          <w:ilvl w:val="0"/>
          <w:numId w:val="15"/>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Procedimientos para el Uso, Mantenimiento y Control Vehicular; </w:t>
      </w:r>
    </w:p>
    <w:p w14:paraId="2F018B2B" w14:textId="77777777" w:rsidR="00D57475" w:rsidRPr="00D57475" w:rsidRDefault="00D57475" w:rsidP="00D57475">
      <w:pPr>
        <w:numPr>
          <w:ilvl w:val="0"/>
          <w:numId w:val="15"/>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Procedimientos para la emisión del Informe de Viabilidad Técnica en Riego y Drenaje; y </w:t>
      </w:r>
    </w:p>
    <w:p w14:paraId="6944C55D" w14:textId="77777777" w:rsidR="00D57475" w:rsidRPr="00D57475" w:rsidRDefault="00D57475" w:rsidP="00D57475">
      <w:pPr>
        <w:numPr>
          <w:ilvl w:val="0"/>
          <w:numId w:val="15"/>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Procedimientos para la elaboración del Plan Operativo Anual de Gasto Corriente, Inversión y reformas presupuestarias del proyecto de inversión. </w:t>
      </w:r>
    </w:p>
    <w:p w14:paraId="0E546B56"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De la comparación entre los ámbitos de regulación prescritos por el artículo 8 de la Resolución 005-CNC-2012 y los cuatro manuales aprobados mediante Acuerdo Ministerial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1266, obtenemos la mora regulatoria de la autoridad nacional sobre dragados: </w:t>
      </w:r>
    </w:p>
    <w:p w14:paraId="57A680F5"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10"/>
        <w:gridCol w:w="2977"/>
        <w:gridCol w:w="3268"/>
      </w:tblGrid>
      <w:tr w:rsidR="00D57475" w:rsidRPr="00D57475" w14:paraId="5DD5A344" w14:textId="77777777" w:rsidTr="00172939">
        <w:trPr>
          <w:jc w:val="center"/>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E121E"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Norma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9DDF2"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Ámbito de Regulación</w:t>
            </w:r>
          </w:p>
        </w:tc>
        <w:tc>
          <w:tcPr>
            <w:tcW w:w="3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4469C"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b/>
                <w:bCs/>
              </w:rPr>
              <w:t>Grado de cumplimiento</w:t>
            </w:r>
          </w:p>
        </w:tc>
      </w:tr>
      <w:tr w:rsidR="00D57475" w:rsidRPr="00D57475" w14:paraId="7C74B2D0" w14:textId="77777777" w:rsidTr="00172939">
        <w:trPr>
          <w:jc w:val="center"/>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54450"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Art. 8.1</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A9E62"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Establecer estándares para los tres servicios</w:t>
            </w:r>
          </w:p>
        </w:tc>
        <w:tc>
          <w:tcPr>
            <w:tcW w:w="3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AEFF7"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w:t>
            </w:r>
          </w:p>
        </w:tc>
      </w:tr>
      <w:tr w:rsidR="00D57475" w:rsidRPr="00D57475" w14:paraId="00BC70F8" w14:textId="77777777" w:rsidTr="00172939">
        <w:trPr>
          <w:jc w:val="center"/>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FCDED5"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Art. 8.2</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D623A"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Establecer requisitos para el inicio de los tres servicios</w:t>
            </w:r>
          </w:p>
        </w:tc>
        <w:tc>
          <w:tcPr>
            <w:tcW w:w="3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AE2489"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Procedimientos para otorgar autorización para proyectos de dragado, relleno hidráulico y limpieza de ríos, presas, embalses y esteros; Procedimientos para la emisión del Informe de Viabilidad Técnica en Riego y Drenaje; y Procedimientos para la elaboración del Plan Operativo Anual de Gasto Corriente, Inversión y reformas presupuestarias del proyecto de inversión.</w:t>
            </w:r>
          </w:p>
        </w:tc>
      </w:tr>
      <w:tr w:rsidR="00D57475" w:rsidRPr="00D57475" w14:paraId="15C5BA65" w14:textId="77777777" w:rsidTr="00172939">
        <w:trPr>
          <w:jc w:val="center"/>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67B5C"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Art. 8.3</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F76B24"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Establecer requisitos para la adquisición de dragas</w:t>
            </w:r>
          </w:p>
        </w:tc>
        <w:tc>
          <w:tcPr>
            <w:tcW w:w="3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6068B"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w:t>
            </w:r>
          </w:p>
        </w:tc>
      </w:tr>
      <w:tr w:rsidR="00D57475" w:rsidRPr="00D57475" w14:paraId="0DA6B0D5" w14:textId="77777777" w:rsidTr="00172939">
        <w:trPr>
          <w:jc w:val="center"/>
        </w:trPr>
        <w:tc>
          <w:tcPr>
            <w:tcW w:w="14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C7B7F" w14:textId="77777777" w:rsidR="00D57475" w:rsidRPr="00D57475" w:rsidRDefault="00D57475" w:rsidP="00172939">
            <w:pP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Art. 8.4</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6AA9ED" w14:textId="77777777" w:rsidR="00D57475" w:rsidRPr="00D57475" w:rsidRDefault="00D57475" w:rsidP="00172939">
            <w:pPr>
              <w:spacing w:before="120" w:line="276" w:lineRule="auto"/>
              <w:jc w:val="both"/>
              <w:rPr>
                <w:rFonts w:ascii="Times New Roman" w:eastAsia="Times New Roman" w:hAnsi="Times New Roman" w:cs="Times New Roman"/>
              </w:rPr>
            </w:pPr>
            <w:proofErr w:type="gramStart"/>
            <w:r w:rsidRPr="00D57475">
              <w:rPr>
                <w:rFonts w:ascii="Times New Roman" w:eastAsia="Times New Roman" w:hAnsi="Times New Roman" w:cs="Times New Roman"/>
              </w:rPr>
              <w:t>Regular mecanismos</w:t>
            </w:r>
            <w:proofErr w:type="gramEnd"/>
            <w:r w:rsidRPr="00D57475">
              <w:rPr>
                <w:rFonts w:ascii="Times New Roman" w:eastAsia="Times New Roman" w:hAnsi="Times New Roman" w:cs="Times New Roman"/>
              </w:rPr>
              <w:t xml:space="preserve"> de control para omisión o ineficacia en la prestación de los tres servicios</w:t>
            </w:r>
          </w:p>
        </w:tc>
        <w:tc>
          <w:tcPr>
            <w:tcW w:w="3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5CD6E" w14:textId="77777777" w:rsidR="00D57475" w:rsidRPr="00D57475" w:rsidRDefault="00D57475" w:rsidP="00172939">
            <w:pPr>
              <w:spacing w:before="120" w:line="276" w:lineRule="auto"/>
              <w:jc w:val="both"/>
              <w:rPr>
                <w:rFonts w:ascii="Times New Roman" w:eastAsia="Times New Roman" w:hAnsi="Times New Roman" w:cs="Times New Roman"/>
              </w:rPr>
            </w:pPr>
          </w:p>
        </w:tc>
      </w:tr>
    </w:tbl>
    <w:p w14:paraId="4EDA93E0"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sz w:val="24"/>
          <w:szCs w:val="24"/>
        </w:rPr>
      </w:pPr>
    </w:p>
    <w:p w14:paraId="3267D091" w14:textId="6D1E7386" w:rsidR="00D57475" w:rsidRPr="000168BF" w:rsidRDefault="00D57475" w:rsidP="000168BF">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bookmarkStart w:id="34" w:name="_Toc123068897"/>
      <w:bookmarkStart w:id="35" w:name="_Toc123235771"/>
      <w:bookmarkStart w:id="36" w:name="_Toc123296926"/>
      <w:r w:rsidRPr="000168BF">
        <w:rPr>
          <w:rFonts w:ascii="Times New Roman" w:eastAsia="Times New Roman" w:hAnsi="Times New Roman" w:cs="Times New Roman"/>
          <w:b/>
          <w:bCs/>
        </w:rPr>
        <w:t>Insuficiente financiamiento para proyectos (nuevos y de operación y mantenimiento)</w:t>
      </w:r>
      <w:bookmarkEnd w:id="34"/>
      <w:bookmarkEnd w:id="35"/>
      <w:bookmarkEnd w:id="36"/>
      <w:r w:rsidR="000168BF">
        <w:rPr>
          <w:rFonts w:ascii="Times New Roman" w:eastAsia="Times New Roman" w:hAnsi="Times New Roman" w:cs="Times New Roman"/>
          <w:b/>
          <w:bCs/>
        </w:rPr>
        <w:t>:</w:t>
      </w:r>
    </w:p>
    <w:p w14:paraId="53B91C7F" w14:textId="77777777" w:rsidR="00D57475" w:rsidRPr="00D57475" w:rsidRDefault="00D57475" w:rsidP="00D57475">
      <w:pPr>
        <w:pStyle w:val="Prrafodelista"/>
        <w:tabs>
          <w:tab w:val="left" w:pos="993"/>
        </w:tabs>
        <w:spacing w:before="120" w:after="60" w:line="276" w:lineRule="auto"/>
        <w:ind w:left="360"/>
        <w:jc w:val="both"/>
        <w:outlineLvl w:val="2"/>
        <w:rPr>
          <w:rFonts w:ascii="Times New Roman" w:eastAsia="Times New Roman" w:hAnsi="Times New Roman" w:cs="Times New Roman"/>
          <w:sz w:val="24"/>
          <w:szCs w:val="24"/>
        </w:rPr>
      </w:pPr>
    </w:p>
    <w:p w14:paraId="7F871B76" w14:textId="4442D8E3"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Una consecuencia directa de la falta de regulación sobre tarifas de servicios asociados al </w:t>
      </w:r>
      <w:proofErr w:type="gramStart"/>
      <w:r w:rsidRPr="00D57475">
        <w:rPr>
          <w:rFonts w:ascii="Times New Roman" w:eastAsia="Times New Roman" w:hAnsi="Times New Roman" w:cs="Times New Roman"/>
        </w:rPr>
        <w:t>drenaje,</w:t>
      </w:r>
      <w:proofErr w:type="gramEnd"/>
      <w:r w:rsidRPr="00D57475">
        <w:rPr>
          <w:rFonts w:ascii="Times New Roman" w:eastAsia="Times New Roman" w:hAnsi="Times New Roman" w:cs="Times New Roman"/>
        </w:rPr>
        <w:t xml:space="preserve"> es la falta de cobro por estos tres servicios. Esto a su vez se traduce en insuficiente financiamiento para continuar la operación de estos servicios.</w:t>
      </w:r>
    </w:p>
    <w:p w14:paraId="07495F91" w14:textId="77777777" w:rsidR="000168BF" w:rsidRPr="00D57475" w:rsidRDefault="000168BF" w:rsidP="000168BF">
      <w:pPr>
        <w:pBdr>
          <w:top w:val="nil"/>
          <w:left w:val="nil"/>
          <w:bottom w:val="nil"/>
          <w:right w:val="nil"/>
          <w:between w:val="nil"/>
        </w:pBdr>
        <w:spacing w:before="120" w:line="276" w:lineRule="auto"/>
        <w:jc w:val="both"/>
        <w:rPr>
          <w:rFonts w:ascii="Times New Roman" w:eastAsia="Times New Roman" w:hAnsi="Times New Roman" w:cs="Times New Roman"/>
        </w:rPr>
      </w:pPr>
    </w:p>
    <w:p w14:paraId="58CC69A6" w14:textId="77777777" w:rsidR="000168BF"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Desde la época de la Caja Nacional de Riego, hasta la actualidad, siempre se ha contemplado para proyectos hidráulicos o multipropósito, un modelo de financiamiento que contemple cobro de servicios. Hasta la reforma legal de 2004 a la Ley de Aguas, las corporaciones regionales de desarrollo y demás operadores de sistemas de riego y drenaje, tanto comunitarios como de gestión delegada, cobraban tarifa básica y tarifa volumétrica.</w:t>
      </w:r>
    </w:p>
    <w:p w14:paraId="34FDE058" w14:textId="77777777" w:rsidR="000168BF" w:rsidRDefault="000168BF" w:rsidP="000168BF">
      <w:pPr>
        <w:pStyle w:val="Prrafodelista"/>
        <w:rPr>
          <w:rFonts w:ascii="Times New Roman" w:eastAsia="Times New Roman" w:hAnsi="Times New Roman" w:cs="Times New Roman"/>
        </w:rPr>
      </w:pPr>
    </w:p>
    <w:p w14:paraId="05388CA3" w14:textId="618CD4CF"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Durante el ciclo económico conocido como “de altos precios de </w:t>
      </w:r>
      <w:proofErr w:type="spellStart"/>
      <w:r w:rsidRPr="00D57475">
        <w:rPr>
          <w:rFonts w:ascii="Times New Roman" w:eastAsia="Times New Roman" w:hAnsi="Times New Roman" w:cs="Times New Roman"/>
        </w:rPr>
        <w:t>commodities</w:t>
      </w:r>
      <w:proofErr w:type="spellEnd"/>
      <w:r w:rsidRPr="00D57475">
        <w:rPr>
          <w:rFonts w:ascii="Times New Roman" w:eastAsia="Times New Roman" w:hAnsi="Times New Roman" w:cs="Times New Roman"/>
        </w:rPr>
        <w:t>”, durante las primeras décadas del siglo XXI, el gobierno ecuatoriano promovía un modelo de desarrollo basado en gran medida en la inversión pública para la construcción, operación y mantenimiento de obra pública, incluyendo obras relacionadas con recursos hídricos.</w:t>
      </w:r>
    </w:p>
    <w:p w14:paraId="3B1AB549" w14:textId="77777777" w:rsidR="000168BF" w:rsidRDefault="000168BF" w:rsidP="000168BF">
      <w:pPr>
        <w:pStyle w:val="Prrafodelista"/>
        <w:rPr>
          <w:rFonts w:ascii="Times New Roman" w:eastAsia="Times New Roman" w:hAnsi="Times New Roman" w:cs="Times New Roman"/>
        </w:rPr>
      </w:pPr>
    </w:p>
    <w:p w14:paraId="6577F5CC" w14:textId="7B0DD04F"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Cerrado ese ciclo económico, hoy la economía del sector público no financiero no está en capacidad de afrontar de manera exclusiva el financiamiento de proyectos de inversión. Afortunadamente, las obras de dragado, así como de riego y drenaje, pueden generar ingresos por autogestión, a través del cobro de servicios. Inclusive si esta fuente de ingresos no completa la totalidad de lo requerido para la operación y mantenimiento de las obras, sí permite tener un flujo para asegurar liquidez, y una capacidad de levantar otras fuentes de financiamiento, como la propia inversión pública (de manera parcial al menos), e inclusive a través de financiamiento de fuente privada.</w:t>
      </w:r>
    </w:p>
    <w:p w14:paraId="50604316" w14:textId="77777777" w:rsidR="000168BF" w:rsidRDefault="000168BF" w:rsidP="000168BF">
      <w:pPr>
        <w:pStyle w:val="Prrafodelista"/>
        <w:rPr>
          <w:rFonts w:ascii="Times New Roman" w:eastAsia="Times New Roman" w:hAnsi="Times New Roman" w:cs="Times New Roman"/>
        </w:rPr>
      </w:pPr>
    </w:p>
    <w:p w14:paraId="461D6FDF" w14:textId="591973F0"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El Gobierno central tiene un portafolio de proyectos de inversión, tanto de obras civiles ya construidas (</w:t>
      </w:r>
      <w:proofErr w:type="spellStart"/>
      <w:r w:rsidRPr="00D57475">
        <w:rPr>
          <w:rFonts w:ascii="Times New Roman" w:eastAsia="Times New Roman" w:hAnsi="Times New Roman" w:cs="Times New Roman"/>
        </w:rPr>
        <w:t>brownfield</w:t>
      </w:r>
      <w:proofErr w:type="spellEnd"/>
      <w:r w:rsidRPr="00D57475">
        <w:rPr>
          <w:rFonts w:ascii="Times New Roman" w:eastAsia="Times New Roman" w:hAnsi="Times New Roman" w:cs="Times New Roman"/>
        </w:rPr>
        <w:t>) como de obras por comenzar (</w:t>
      </w:r>
      <w:proofErr w:type="spellStart"/>
      <w:r w:rsidRPr="00D57475">
        <w:rPr>
          <w:rFonts w:ascii="Times New Roman" w:eastAsia="Times New Roman" w:hAnsi="Times New Roman" w:cs="Times New Roman"/>
        </w:rPr>
        <w:t>greenfield</w:t>
      </w:r>
      <w:proofErr w:type="spellEnd"/>
      <w:r w:rsidRPr="00D57475">
        <w:rPr>
          <w:rFonts w:ascii="Times New Roman" w:eastAsia="Times New Roman" w:hAnsi="Times New Roman" w:cs="Times New Roman"/>
        </w:rPr>
        <w:t xml:space="preserve">), las cuales son ofrecidas a la inversión extranjera y nacional bajo la modalidad de asociación público-privada. Mediante Decreto Ejecutivo </w:t>
      </w:r>
      <w:proofErr w:type="spellStart"/>
      <w:r w:rsidRPr="00D57475">
        <w:rPr>
          <w:rFonts w:ascii="Times New Roman" w:eastAsia="Times New Roman" w:hAnsi="Times New Roman" w:cs="Times New Roman"/>
        </w:rPr>
        <w:t>Nº</w:t>
      </w:r>
      <w:proofErr w:type="spellEnd"/>
      <w:r w:rsidRPr="00D57475">
        <w:rPr>
          <w:rFonts w:ascii="Times New Roman" w:eastAsia="Times New Roman" w:hAnsi="Times New Roman" w:cs="Times New Roman"/>
        </w:rPr>
        <w:t xml:space="preserve"> 260, se instituyó la Secretaría Técnica de Asociaciones Público-Privadas y de Gestión </w:t>
      </w:r>
      <w:proofErr w:type="gramStart"/>
      <w:r w:rsidRPr="00D57475">
        <w:rPr>
          <w:rFonts w:ascii="Times New Roman" w:eastAsia="Times New Roman" w:hAnsi="Times New Roman" w:cs="Times New Roman"/>
        </w:rPr>
        <w:t>Delegada</w:t>
      </w:r>
      <w:proofErr w:type="gramEnd"/>
      <w:r w:rsidRPr="00D57475">
        <w:rPr>
          <w:rFonts w:ascii="Times New Roman" w:eastAsia="Times New Roman" w:hAnsi="Times New Roman" w:cs="Times New Roman"/>
        </w:rPr>
        <w:t>, cuyo ámbito de acción incluye ofrecer el portafolio de proyectos de inversión, así como también actualizarlo con proyectos provenientes de gobiernos autónomos descentralizados. Esta Secretaría realiza eventos de formación de capacidades dirigido a los equipos a cargo de proyectos de inversión con capacidad de financiamiento provenientes de los gobiernos autónomos descentralizados.</w:t>
      </w:r>
    </w:p>
    <w:p w14:paraId="1984CE63" w14:textId="77777777" w:rsidR="000168BF" w:rsidRDefault="000168BF" w:rsidP="000168BF">
      <w:pPr>
        <w:pStyle w:val="Prrafodelista"/>
        <w:rPr>
          <w:rFonts w:ascii="Times New Roman" w:eastAsia="Times New Roman" w:hAnsi="Times New Roman" w:cs="Times New Roman"/>
        </w:rPr>
      </w:pPr>
    </w:p>
    <w:p w14:paraId="725992E7"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Un proyecto de asociación público-privada tarda años en estructurarse, ofrecerse al mercado y cerrarse contractualmente. Esta realidad no debería disuadir de explorar esa alternativa como fuente de financiamiento o de complemento al financiamiento disponible. En todo caso, esta fuente de financiamiento no puede ser única: siempre se relaciona con algún grado de aporte de la entidad promotora del proyecto, y con algún grado de ingreso propio del proyecto, proveniente de servicios al usuario final. </w:t>
      </w:r>
    </w:p>
    <w:p w14:paraId="7165A066" w14:textId="77777777" w:rsidR="00D57475" w:rsidRPr="00D57475" w:rsidRDefault="00D57475" w:rsidP="00D57475">
      <w:pPr>
        <w:pBdr>
          <w:top w:val="nil"/>
          <w:left w:val="nil"/>
          <w:bottom w:val="nil"/>
          <w:right w:val="nil"/>
          <w:between w:val="nil"/>
        </w:pBdr>
        <w:spacing w:line="276" w:lineRule="auto"/>
        <w:jc w:val="both"/>
        <w:rPr>
          <w:rFonts w:ascii="Times New Roman" w:eastAsia="Times New Roman" w:hAnsi="Times New Roman" w:cs="Times New Roman"/>
        </w:rPr>
      </w:pPr>
    </w:p>
    <w:p w14:paraId="62C76C41" w14:textId="4A406692" w:rsidR="00D57475" w:rsidRPr="000168BF" w:rsidRDefault="00D57475" w:rsidP="000168BF">
      <w:pPr>
        <w:pStyle w:val="Prrafodelista"/>
        <w:numPr>
          <w:ilvl w:val="2"/>
          <w:numId w:val="21"/>
        </w:numPr>
        <w:tabs>
          <w:tab w:val="left" w:pos="993"/>
        </w:tabs>
        <w:spacing w:before="120" w:after="60" w:line="276" w:lineRule="auto"/>
        <w:jc w:val="both"/>
        <w:outlineLvl w:val="2"/>
        <w:rPr>
          <w:rFonts w:ascii="Times New Roman" w:eastAsia="Times New Roman" w:hAnsi="Times New Roman" w:cs="Times New Roman"/>
          <w:b/>
          <w:bCs/>
        </w:rPr>
      </w:pPr>
      <w:bookmarkStart w:id="37" w:name="_Toc123068898"/>
      <w:bookmarkStart w:id="38" w:name="_Toc123235772"/>
      <w:bookmarkStart w:id="39" w:name="_Toc123296927"/>
      <w:r w:rsidRPr="000168BF">
        <w:rPr>
          <w:rFonts w:ascii="Times New Roman" w:eastAsia="Times New Roman" w:hAnsi="Times New Roman" w:cs="Times New Roman"/>
          <w:b/>
          <w:bCs/>
        </w:rPr>
        <w:t>Oportunidades de mejora de institucionalidad</w:t>
      </w:r>
      <w:bookmarkEnd w:id="37"/>
      <w:bookmarkEnd w:id="38"/>
      <w:bookmarkEnd w:id="39"/>
      <w:r w:rsidR="000168BF" w:rsidRPr="000168BF">
        <w:rPr>
          <w:rFonts w:ascii="Times New Roman" w:eastAsia="Times New Roman" w:hAnsi="Times New Roman" w:cs="Times New Roman"/>
          <w:b/>
          <w:bCs/>
        </w:rPr>
        <w:t>:</w:t>
      </w:r>
    </w:p>
    <w:p w14:paraId="1790D58E" w14:textId="77777777" w:rsidR="00D57475" w:rsidRPr="00D57475" w:rsidRDefault="00D57475" w:rsidP="00D57475">
      <w:pPr>
        <w:pStyle w:val="Prrafodelista"/>
        <w:tabs>
          <w:tab w:val="left" w:pos="993"/>
        </w:tabs>
        <w:spacing w:before="120" w:after="60" w:line="276" w:lineRule="auto"/>
        <w:ind w:left="1843"/>
        <w:jc w:val="both"/>
        <w:outlineLvl w:val="2"/>
        <w:rPr>
          <w:rFonts w:ascii="Times New Roman" w:eastAsia="Times New Roman" w:hAnsi="Times New Roman" w:cs="Times New Roman"/>
          <w:b/>
          <w:bCs/>
          <w:sz w:val="24"/>
          <w:szCs w:val="24"/>
        </w:rPr>
      </w:pPr>
    </w:p>
    <w:p w14:paraId="45EF5150" w14:textId="77777777" w:rsidR="00373A64"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Actualmente, de conformidad con el numeral 3 del artículo 263 de la Constitución, los gobiernos provinciales tienen competencia exclusiva para ejecutar, en coordinación con el gobierno regional, obras en cuencas y </w:t>
      </w:r>
      <w:proofErr w:type="gramStart"/>
      <w:r w:rsidRPr="00D57475">
        <w:rPr>
          <w:rFonts w:ascii="Times New Roman" w:eastAsia="Times New Roman" w:hAnsi="Times New Roman" w:cs="Times New Roman"/>
        </w:rPr>
        <w:t>micro cuencas</w:t>
      </w:r>
      <w:proofErr w:type="gramEnd"/>
      <w:r w:rsidRPr="00D57475">
        <w:rPr>
          <w:rFonts w:ascii="Times New Roman" w:eastAsia="Times New Roman" w:hAnsi="Times New Roman" w:cs="Times New Roman"/>
        </w:rPr>
        <w:t>. Respecto a las cuencas, el artículo 411 de la Constitución determina que el estado garantizará la «conservación, recuperación y manejo integral de los recursos hídricos, cuencas hidrográficas y caudales ecológicos asociados al ciclo hidrológico». Para dicho efecto, conforme su artículo 318, el Estado, mediante la autoridad única del agua, será el responsable de su planificación y gestión. Se puede identificar aquí un fenómeno de concurrencia entre ambas competencias exclusivas.</w:t>
      </w:r>
    </w:p>
    <w:p w14:paraId="2A5D5731" w14:textId="482170C0" w:rsidR="00D57475" w:rsidRPr="00D57475" w:rsidRDefault="00D57475" w:rsidP="00373A64">
      <w:p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 </w:t>
      </w:r>
    </w:p>
    <w:p w14:paraId="59E6CBE4" w14:textId="090F428E" w:rsid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Según la normativa secundaria, la autoridad única del agua tendrá competencia para elaborar el Plan Nacional de Recursos Hídricos, así como «los planes de gestión integral e integrada de recursos hídricos por cuenca hidrográfica»; pero ningún gobierno provincial ha dictado una planificación específica para obras en cuencas y </w:t>
      </w:r>
      <w:proofErr w:type="gramStart"/>
      <w:r w:rsidRPr="00D57475">
        <w:rPr>
          <w:rFonts w:ascii="Times New Roman" w:eastAsia="Times New Roman" w:hAnsi="Times New Roman" w:cs="Times New Roman"/>
        </w:rPr>
        <w:t>micro cuencas</w:t>
      </w:r>
      <w:proofErr w:type="gramEnd"/>
      <w:r w:rsidRPr="00D57475">
        <w:rPr>
          <w:rFonts w:ascii="Times New Roman" w:eastAsia="Times New Roman" w:hAnsi="Times New Roman" w:cs="Times New Roman"/>
        </w:rPr>
        <w:t>.</w:t>
      </w:r>
    </w:p>
    <w:p w14:paraId="008D6377" w14:textId="77777777" w:rsidR="00373A64" w:rsidRDefault="00373A64" w:rsidP="00373A64">
      <w:pPr>
        <w:pStyle w:val="Prrafodelista"/>
        <w:rPr>
          <w:rFonts w:ascii="Times New Roman" w:eastAsia="Times New Roman" w:hAnsi="Times New Roman" w:cs="Times New Roman"/>
        </w:rPr>
      </w:pPr>
    </w:p>
    <w:p w14:paraId="0628C28C"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La institucionalidad a cargo del dragado no es uniforme en todas las provincias que recibieron las dragas enumeradas en la disposición transitoria primera de la </w:t>
      </w:r>
      <w:proofErr w:type="spellStart"/>
      <w:r w:rsidRPr="00D57475">
        <w:rPr>
          <w:rFonts w:ascii="Times New Roman" w:eastAsia="Times New Roman" w:hAnsi="Times New Roman" w:cs="Times New Roman"/>
        </w:rPr>
        <w:t>Resolucíon</w:t>
      </w:r>
      <w:proofErr w:type="spellEnd"/>
      <w:r w:rsidRPr="00D57475">
        <w:rPr>
          <w:rFonts w:ascii="Times New Roman" w:eastAsia="Times New Roman" w:hAnsi="Times New Roman" w:cs="Times New Roman"/>
        </w:rPr>
        <w:t xml:space="preserve"> 005-CNC-2012: </w:t>
      </w:r>
    </w:p>
    <w:p w14:paraId="64BC2ABB" w14:textId="77777777" w:rsidR="00D57475" w:rsidRPr="00D57475" w:rsidRDefault="00D57475" w:rsidP="00D57475">
      <w:pPr>
        <w:numPr>
          <w:ilvl w:val="0"/>
          <w:numId w:val="12"/>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En el Gobierno Provincial de Manabí, el dragado está a cargo de la Dirección de Riego y Drenaje, al interior del propio gobierno autónomo descentralizado. </w:t>
      </w:r>
    </w:p>
    <w:p w14:paraId="21C038C7" w14:textId="77777777" w:rsidR="00D57475" w:rsidRPr="00D57475" w:rsidRDefault="00D57475" w:rsidP="00D57475">
      <w:pPr>
        <w:numPr>
          <w:ilvl w:val="0"/>
          <w:numId w:val="12"/>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 xml:space="preserve">En el Gobierno Provincial de Guayas, el dragado ha sido asignado a responsabilidad de la Dirección de Compras Públicas, al interior del propio gobierno autónomo descentralizado. </w:t>
      </w:r>
    </w:p>
    <w:p w14:paraId="664EF2E5" w14:textId="77777777" w:rsidR="00D57475" w:rsidRPr="00D57475" w:rsidRDefault="00D57475" w:rsidP="00D57475">
      <w:pPr>
        <w:numPr>
          <w:ilvl w:val="0"/>
          <w:numId w:val="12"/>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En el Gobierno Provincial de Los Ríos, el dragado ha sido asignado a responsabilidad de la Dirección de Gestión de Riego, Drenaje y Dragado, al interior del propio gobierno autónomo descentralizado. </w:t>
      </w:r>
    </w:p>
    <w:p w14:paraId="7DC93BC4" w14:textId="77777777" w:rsidR="00D57475" w:rsidRPr="00D57475" w:rsidRDefault="00D57475" w:rsidP="00D57475">
      <w:pPr>
        <w:numPr>
          <w:ilvl w:val="0"/>
          <w:numId w:val="12"/>
        </w:numPr>
        <w:spacing w:before="120" w:after="100" w:afterAutospacing="1" w:line="276" w:lineRule="auto"/>
        <w:jc w:val="both"/>
        <w:rPr>
          <w:rFonts w:ascii="Times New Roman" w:eastAsia="Times New Roman" w:hAnsi="Times New Roman" w:cs="Times New Roman"/>
        </w:rPr>
      </w:pPr>
      <w:r w:rsidRPr="00D57475">
        <w:rPr>
          <w:rFonts w:ascii="Times New Roman" w:eastAsia="Times New Roman" w:hAnsi="Times New Roman" w:cs="Times New Roman"/>
        </w:rPr>
        <w:t>En el Gobierno Provincial de El Oro, se ha planificado la creación de la Empresa Pública de Riego, Drenajes y Dragados del GAD de El Oro.</w:t>
      </w:r>
    </w:p>
    <w:p w14:paraId="2C06C2B8" w14:textId="77777777" w:rsidR="00D57475" w:rsidRPr="00D57475" w:rsidRDefault="00D57475" w:rsidP="00D57475">
      <w:pPr>
        <w:numPr>
          <w:ilvl w:val="0"/>
          <w:numId w:val="20"/>
        </w:numPr>
        <w:pBdr>
          <w:top w:val="nil"/>
          <w:left w:val="nil"/>
          <w:bottom w:val="nil"/>
          <w:right w:val="nil"/>
          <w:between w:val="nil"/>
        </w:pBdr>
        <w:spacing w:before="120" w:line="276" w:lineRule="auto"/>
        <w:jc w:val="both"/>
        <w:rPr>
          <w:rFonts w:ascii="Times New Roman" w:eastAsia="Times New Roman" w:hAnsi="Times New Roman" w:cs="Times New Roman"/>
        </w:rPr>
      </w:pPr>
      <w:r w:rsidRPr="00D57475">
        <w:rPr>
          <w:rFonts w:ascii="Times New Roman" w:eastAsia="Times New Roman" w:hAnsi="Times New Roman" w:cs="Times New Roman"/>
        </w:rPr>
        <w:t>Hay una variedad de modelos de institucionalidad para ejercer la facultad de gestión del dragado, por parte de los gobiernos autónomos descentralizados. Esto representa un desafío para comparar la ejecución de competencias entre gobiernos provinciales, así como para identificar los costos de la prestación de servicios.</w:t>
      </w:r>
    </w:p>
    <w:p w14:paraId="1A68D1B5" w14:textId="77777777" w:rsidR="00D57475" w:rsidRPr="00D57475" w:rsidRDefault="00D57475" w:rsidP="00D57475">
      <w:pPr>
        <w:pBdr>
          <w:top w:val="nil"/>
          <w:left w:val="nil"/>
          <w:bottom w:val="nil"/>
          <w:right w:val="nil"/>
          <w:between w:val="nil"/>
        </w:pBdr>
        <w:spacing w:line="276" w:lineRule="auto"/>
        <w:jc w:val="both"/>
        <w:rPr>
          <w:rFonts w:ascii="Times New Roman" w:eastAsia="Times New Roman" w:hAnsi="Times New Roman" w:cs="Times New Roman"/>
        </w:rPr>
      </w:pPr>
    </w:p>
    <w:p w14:paraId="4241BD75" w14:textId="77777777" w:rsidR="00D57475" w:rsidRPr="00373A64" w:rsidRDefault="00D57475" w:rsidP="00373A64">
      <w:pPr>
        <w:spacing w:before="120" w:after="84" w:line="276" w:lineRule="auto"/>
        <w:jc w:val="center"/>
        <w:outlineLvl w:val="1"/>
        <w:rPr>
          <w:rFonts w:ascii="Times New Roman" w:eastAsia="Times New Roman" w:hAnsi="Times New Roman" w:cs="Times New Roman"/>
          <w:b/>
          <w:bCs/>
        </w:rPr>
      </w:pPr>
      <w:bookmarkStart w:id="40" w:name="_Toc123068899"/>
      <w:bookmarkStart w:id="41" w:name="_Toc123235773"/>
      <w:bookmarkStart w:id="42" w:name="_Toc123296928"/>
      <w:r w:rsidRPr="00373A64">
        <w:rPr>
          <w:rFonts w:ascii="Times New Roman" w:eastAsia="Times New Roman" w:hAnsi="Times New Roman" w:cs="Times New Roman"/>
          <w:b/>
          <w:bCs/>
        </w:rPr>
        <w:t>Considerandos</w:t>
      </w:r>
      <w:bookmarkEnd w:id="40"/>
      <w:bookmarkEnd w:id="41"/>
      <w:bookmarkEnd w:id="42"/>
    </w:p>
    <w:p w14:paraId="6F0E0DE3" w14:textId="77777777" w:rsidR="00D57475" w:rsidRPr="00D57475" w:rsidRDefault="00D57475" w:rsidP="00D57475">
      <w:pPr>
        <w:pBdr>
          <w:top w:val="nil"/>
          <w:left w:val="nil"/>
          <w:bottom w:val="nil"/>
          <w:right w:val="nil"/>
          <w:between w:val="nil"/>
        </w:pBdr>
        <w:spacing w:line="276" w:lineRule="auto"/>
        <w:jc w:val="both"/>
        <w:rPr>
          <w:rFonts w:ascii="Times New Roman" w:eastAsia="Times New Roman" w:hAnsi="Times New Roman" w:cs="Times New Roman"/>
        </w:rPr>
      </w:pPr>
    </w:p>
    <w:p w14:paraId="0937BC3F" w14:textId="2612A7A9" w:rsidR="00D57475" w:rsidRPr="00D57475" w:rsidRDefault="00D57475" w:rsidP="00373A64">
      <w:pPr>
        <w:spacing w:before="120" w:after="48" w:line="276" w:lineRule="auto"/>
        <w:jc w:val="center"/>
        <w:outlineLvl w:val="3"/>
        <w:rPr>
          <w:rFonts w:ascii="Times New Roman" w:eastAsia="Times New Roman" w:hAnsi="Times New Roman" w:cs="Times New Roman"/>
          <w:b/>
          <w:bCs/>
        </w:rPr>
      </w:pPr>
      <w:r w:rsidRPr="00D57475">
        <w:rPr>
          <w:rFonts w:ascii="Times New Roman" w:eastAsia="Times New Roman" w:hAnsi="Times New Roman" w:cs="Times New Roman"/>
          <w:b/>
          <w:bCs/>
        </w:rPr>
        <w:t>LA ASAMBLEA NACIONAL</w:t>
      </w:r>
      <w:r w:rsidR="00373A64">
        <w:rPr>
          <w:rFonts w:ascii="Times New Roman" w:eastAsia="Times New Roman" w:hAnsi="Times New Roman" w:cs="Times New Roman"/>
          <w:b/>
          <w:bCs/>
        </w:rPr>
        <w:t xml:space="preserve"> DEL ECUADOR</w:t>
      </w:r>
    </w:p>
    <w:p w14:paraId="3A3D7D40" w14:textId="46AB8366" w:rsidR="00D57475" w:rsidRPr="00D57475" w:rsidRDefault="00D57475" w:rsidP="00373A64">
      <w:pPr>
        <w:spacing w:before="120" w:after="48" w:line="276" w:lineRule="auto"/>
        <w:jc w:val="center"/>
        <w:outlineLvl w:val="3"/>
        <w:rPr>
          <w:rFonts w:ascii="Times New Roman" w:eastAsia="Times New Roman" w:hAnsi="Times New Roman" w:cs="Times New Roman"/>
          <w:b/>
          <w:bCs/>
        </w:rPr>
      </w:pPr>
      <w:r w:rsidRPr="00D57475">
        <w:rPr>
          <w:rFonts w:ascii="Times New Roman" w:eastAsia="Times New Roman" w:hAnsi="Times New Roman" w:cs="Times New Roman"/>
          <w:b/>
          <w:bCs/>
        </w:rPr>
        <w:t>CONSIDERANDO:</w:t>
      </w:r>
    </w:p>
    <w:p w14:paraId="63FADB36" w14:textId="77777777" w:rsidR="00D57475" w:rsidRPr="00D57475" w:rsidRDefault="00D57475" w:rsidP="00D57475">
      <w:pPr>
        <w:spacing w:line="276" w:lineRule="auto"/>
        <w:jc w:val="both"/>
        <w:rPr>
          <w:rFonts w:ascii="Times New Roman" w:eastAsia="Times New Roman" w:hAnsi="Times New Roman" w:cs="Times New Roman"/>
          <w:b/>
          <w:bCs/>
        </w:rPr>
      </w:pPr>
    </w:p>
    <w:p w14:paraId="29B89417"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2915F84B"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de conformidad con el inciso primero del artículo 1 de la Constitución de la República, el Ecuador es un Estado constitucional de derechos y justicia; </w:t>
      </w:r>
    </w:p>
    <w:p w14:paraId="4AE32917" w14:textId="77777777" w:rsidR="00D57475" w:rsidRPr="00D57475" w:rsidRDefault="00D57475" w:rsidP="00D57475">
      <w:pPr>
        <w:spacing w:before="120"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07AC3B04"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conforme lo previsto en los numerales 5 y 6 del artículo 3 de la Constitución de la República, son deberes primordiales del Estado, planificar el desarrollo nacional, erradicar la pobreza, promover el desarrollo sustentable y la redistribución equitativa de los recursos y la riqueza, para acceder al buen vivir; y, promover el desarrollo equitativo y solidario de todo el territorio, mediante el fortalecimiento del proceso de autonomías y descentralización; </w:t>
      </w:r>
    </w:p>
    <w:p w14:paraId="7560ABE4"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18AF46D0"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numeral 8 del artículo 3 de la Constitución de la República del Ecuador señala que son deberes primordiales del Estado garantizar a sus habitantes el derecho a una cultura de paz, a la seguridad integral y a vivir en una sociedad democrática y libre de corrupción; </w:t>
      </w:r>
    </w:p>
    <w:p w14:paraId="173C4C24"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7F41CBDA"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el artículo 23 de la Constitución de la República del Ecuador garantiza a las personas el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 </w:t>
      </w:r>
    </w:p>
    <w:p w14:paraId="1A36750A"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3634CA70"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31 de la Constitución de la República del Ecuador determina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2247014F"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1909E647"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61 de la Constitución de la República del Ecuador numerales 2 y 4 garantiza a todos y todas los ecuatorianos y ecuatorianas el goce de los derechos a participar en los asuntos de interés público, y a ser consultados; </w:t>
      </w:r>
    </w:p>
    <w:p w14:paraId="2BD3FC93"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7E8D5184" w14:textId="77777777" w:rsidR="00D57475" w:rsidRPr="00D57475" w:rsidRDefault="00D57475" w:rsidP="00D57475">
      <w:pPr>
        <w:spacing w:line="276" w:lineRule="auto"/>
        <w:ind w:left="720"/>
        <w:jc w:val="both"/>
        <w:rPr>
          <w:rFonts w:ascii="Times New Roman" w:eastAsia="Times New Roman" w:hAnsi="Times New Roman" w:cs="Times New Roman"/>
        </w:rPr>
      </w:pPr>
      <w:proofErr w:type="gramStart"/>
      <w:r w:rsidRPr="00D57475">
        <w:rPr>
          <w:rFonts w:ascii="Times New Roman" w:eastAsia="Times New Roman" w:hAnsi="Times New Roman" w:cs="Times New Roman"/>
        </w:rPr>
        <w:t>de acuerdo a</w:t>
      </w:r>
      <w:proofErr w:type="gramEnd"/>
      <w:r w:rsidRPr="00D57475">
        <w:rPr>
          <w:rFonts w:ascii="Times New Roman" w:eastAsia="Times New Roman" w:hAnsi="Times New Roman" w:cs="Times New Roman"/>
        </w:rPr>
        <w:t xml:space="preserve"> lo preceptuado en el artículo 84 de la Constitución de la República, la Asamblea Nacional y todo órgano con potestad normativa tiene la obligación de adecuar, formal y materialmente, las leyes y demás normas jurídicas a los derechos previstos en la Constitución y los tratados internacionales, y los que sean necesarios para garantizar la dignidad del ser humano o de las comunidades, pueblos y nacionalidades; </w:t>
      </w:r>
    </w:p>
    <w:p w14:paraId="0E7D250D"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72030D01"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95 de la Constitución de la República del Ecuador dispone que </w:t>
      </w:r>
      <w:proofErr w:type="gramStart"/>
      <w:r w:rsidRPr="00D57475">
        <w:rPr>
          <w:rFonts w:ascii="Times New Roman" w:eastAsia="Times New Roman" w:hAnsi="Times New Roman" w:cs="Times New Roman"/>
        </w:rPr>
        <w:t>las ciudadanas y ciudadanos</w:t>
      </w:r>
      <w:proofErr w:type="gramEnd"/>
      <w:r w:rsidRPr="00D57475">
        <w:rPr>
          <w:rFonts w:ascii="Times New Roman" w:eastAsia="Times New Roman" w:hAnsi="Times New Roman" w:cs="Times New Roman"/>
        </w:rPr>
        <w:t xml:space="preserve">, en forma individual y colectiva, participarán de manera protagónica en la toma de decisiones, planificación y gestión de los asuntos públicos y que la participación de la ciudadanía en todos los asuntos de interés público es un derecho; </w:t>
      </w:r>
    </w:p>
    <w:p w14:paraId="7A16E2C9"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5B0729EF"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numeral del 6 del artículo 120 de nuestra constitución indica que la Asamblea Nacional tendrá las siguientes atribuciones y deberes, además de las que determine la ley: “… 6. Expedir, codificar, reformar y derogar las leyes, e interpretarlas con carácter general mente obligatorio.”; </w:t>
      </w:r>
    </w:p>
    <w:p w14:paraId="3CE0ABD6"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122D0DCE"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lastRenderedPageBreak/>
        <w:t xml:space="preserve">el artículo 226 de la Constitución de la República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6577623D"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3000A629"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227 ibidem sobre los principios de la administración pública señala: la administración pública constituye un servicio a la colectividad que se rige por los principios de eficacia, eficiencia, calidad, jerarquía, desconcentración, descentralización, coordinación, participación, planificación, transparencia y evaluación; </w:t>
      </w:r>
    </w:p>
    <w:p w14:paraId="23F3513B"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48801235"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238 de la Constitución menciona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 </w:t>
      </w:r>
    </w:p>
    <w:p w14:paraId="744769EC"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72B7676F"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239 de la Carta Fundamental prevé que el régimen de gobiernos autónomos descentralizados se regirá por la ley correspondiente, que establecerá un sistema nacional de competencias de carácter obligatorio y progresivo y definirá las políticas y mecanismos para compensar los desequilibrios territoriales en el proceso de desarrollo; </w:t>
      </w:r>
    </w:p>
    <w:p w14:paraId="01081253"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2DB3BD84"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la Constitución de la República del Ecuador, en su artículo 249, tiene como propósito superar la desatención y abandono de que han sido objeto, históricamente, las poblaciones fronterizas, y que </w:t>
      </w:r>
      <w:proofErr w:type="gramStart"/>
      <w:r w:rsidRPr="00D57475">
        <w:rPr>
          <w:rFonts w:ascii="Times New Roman" w:eastAsia="Times New Roman" w:hAnsi="Times New Roman" w:cs="Times New Roman"/>
        </w:rPr>
        <w:t>ésta</w:t>
      </w:r>
      <w:proofErr w:type="gramEnd"/>
      <w:r w:rsidRPr="00D57475">
        <w:rPr>
          <w:rFonts w:ascii="Times New Roman" w:eastAsia="Times New Roman" w:hAnsi="Times New Roman" w:cs="Times New Roman"/>
        </w:rPr>
        <w:t xml:space="preserve"> atención preferencial implica una serie de medidas de acción afirmativa, las cuales deben estar expresamente reguladas y definidos los responsables en todos los nivel es de gobierno; </w:t>
      </w:r>
    </w:p>
    <w:p w14:paraId="637A2FBE"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6186799B"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250 de la Constitución de la República del Ecuador, determina que el territorio de las provincias amazónicas forma parte de un ecosistema necesario para el equilibrio ambiental del planeta. Este territorio constituirá una circunscripción </w:t>
      </w:r>
      <w:r w:rsidRPr="00D57475">
        <w:rPr>
          <w:rFonts w:ascii="Times New Roman" w:eastAsia="Times New Roman" w:hAnsi="Times New Roman" w:cs="Times New Roman"/>
        </w:rPr>
        <w:lastRenderedPageBreak/>
        <w:t xml:space="preserve">territorial especial para la que existirá una planificación integral recogida en una Ley que incluirá aspectos sociales, económicos, ambientales y culturales, con un ordenamiento territorial que garantice la conservación y protección de sus ecosistemas y el principio del </w:t>
      </w:r>
      <w:proofErr w:type="spellStart"/>
      <w:r w:rsidRPr="00D57475">
        <w:rPr>
          <w:rFonts w:ascii="Times New Roman" w:eastAsia="Times New Roman" w:hAnsi="Times New Roman" w:cs="Times New Roman"/>
        </w:rPr>
        <w:t>sumak</w:t>
      </w:r>
      <w:proofErr w:type="spellEnd"/>
      <w:r w:rsidRPr="00D57475">
        <w:rPr>
          <w:rFonts w:ascii="Times New Roman" w:eastAsia="Times New Roman" w:hAnsi="Times New Roman" w:cs="Times New Roman"/>
        </w:rPr>
        <w:t xml:space="preserve"> </w:t>
      </w:r>
      <w:proofErr w:type="spellStart"/>
      <w:r w:rsidRPr="00D57475">
        <w:rPr>
          <w:rFonts w:ascii="Times New Roman" w:eastAsia="Times New Roman" w:hAnsi="Times New Roman" w:cs="Times New Roman"/>
        </w:rPr>
        <w:t>kawsay</w:t>
      </w:r>
      <w:proofErr w:type="spellEnd"/>
      <w:r w:rsidRPr="00D57475">
        <w:rPr>
          <w:rFonts w:ascii="Times New Roman" w:eastAsia="Times New Roman" w:hAnsi="Times New Roman" w:cs="Times New Roman"/>
        </w:rPr>
        <w:t xml:space="preserve">; </w:t>
      </w:r>
    </w:p>
    <w:p w14:paraId="7EF40EEA"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73ED1E84"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260 de la Constitución de la República determina que el ejercicio de las competencias exclusivas no excluirá el ejercicio concurrente de la gestión en la prestación de servicios públicos y actividades de colaboración y complementariedad entre los distintos niveles de gobierno; </w:t>
      </w:r>
    </w:p>
    <w:p w14:paraId="6AB8A35D"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486018E7"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según lo determinado en el artículo 263 de la Constitución de la República, son competencias exclusivas de los gobiernos provinciales, entre otras, la planificación del desarrollo provincial, el fomento de la actividad agropecuaria, y el fomento de las actividades productivas provinciales; </w:t>
      </w:r>
    </w:p>
    <w:p w14:paraId="29A821E6"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32292F13"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276 de la Norma Suprema señala que el régimen de desarrollo tendrá entre sus objetivos, el promover un ordenamiento territorial equilibrado y equitativo que integre y articule las actividades socioculturales, administrativas, económicas y de gestión, y que coadyuve a la unidad del Estado; </w:t>
      </w:r>
    </w:p>
    <w:p w14:paraId="70FFC06B"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1E85C4E1"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284 de la Constitución de la República, establece que la política económica tiene entre sus objetivos: incentivar la producción nacional, la productividad y competitividad sistémicas, la acumulación del conocimiento científico y tecnológico, la inserción estratégica en la economía mundial y las actividades productivas complementarias en la integración regional; asegurar la soberanía alimentaria y energética; promocionar la incorporación del valor agregado con máxima eficiencia, dentro de los límites biofísicos de la naturaleza y el respeto a la vida y a las culturas; lograr un desarrollo equilibrado del territorio nacional, la integración entre regiones, en el campo, entre el campo y la ciudad, en lo económico, social y cultural; impulsar el pleno empleo y valorar todas las formas de trabajo, con respeto a los derechos laborales; y, mantener la estabilidad económica, entendida como el máximo nivel de producción y empleo sostenibles en el tiempo; </w:t>
      </w:r>
    </w:p>
    <w:p w14:paraId="0CDEB6E5" w14:textId="77777777" w:rsidR="00D57475" w:rsidRPr="00D57475" w:rsidRDefault="00D57475" w:rsidP="00D57475">
      <w:pPr>
        <w:spacing w:before="120"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571B29C9"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313 de la Constitución de la República del Ecuador, establece que el Estado se reserva el derecho de administrar, regular, controlar y gestionar los sectores </w:t>
      </w:r>
      <w:r w:rsidRPr="00D57475">
        <w:rPr>
          <w:rFonts w:ascii="Times New Roman" w:eastAsia="Times New Roman" w:hAnsi="Times New Roman" w:cs="Times New Roman"/>
        </w:rPr>
        <w:lastRenderedPageBreak/>
        <w:t xml:space="preserve">estratégicos, conforme con los principios de sostenibilidad ambiental, precaución, prevención y eficiencia; </w:t>
      </w:r>
    </w:p>
    <w:p w14:paraId="481EDF82"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63714FBF"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340 de la Constitución de la República establece que 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p>
    <w:p w14:paraId="0D0D4435"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50FE555B"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numeral 1 del artículo 395 de la Constitución de la República señala que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w:t>
      </w:r>
    </w:p>
    <w:p w14:paraId="481D756D"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2D2EA99F"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396 de la Constitución de la República del Ecuador dispone que el Estado adoptará las políticas y medidas oportunas que eviten los impactos ambientales negativos; Que la Constitución de la República del Ecuador en el artículo 415 reconoce el papel fundamental de los gobiernos autónomos descentralizados en la adopción de políticas integrales y participativas de ordenamiento territorial y de uso de suelo, que permita el crecimiento urbano, el manejo de la fauna urbana e incentiven el establecimiento de zonas verdes; </w:t>
      </w:r>
    </w:p>
    <w:p w14:paraId="722DF620"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684820C2"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424 de la Constitución de la República establece que esta es la norma suprema y prevalece sobre cualquier otra del ordenamiento jurídico. Las normas y los actos del poder público deberán mantener conformidad con las disposiciones constitucionales; en caso contrario carecerán de eficacia jurídica; </w:t>
      </w:r>
    </w:p>
    <w:p w14:paraId="321DAB7D"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37489B4D"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artículo 425 de la Constitución de la República establece el orden jerárquico de aplicación de las normas y también establece que </w:t>
      </w:r>
      <w:r w:rsidRPr="00D57475">
        <w:rPr>
          <w:rFonts w:ascii="Times New Roman" w:eastAsia="Times New Roman" w:hAnsi="Times New Roman" w:cs="Times New Roman"/>
          <w:i/>
          <w:iCs/>
        </w:rPr>
        <w:t xml:space="preserve">“La jerarquía normativa considerará, en lo que corresponda, el principio de competencia, en especial la </w:t>
      </w:r>
      <w:r w:rsidRPr="00D57475">
        <w:rPr>
          <w:rFonts w:ascii="Times New Roman" w:eastAsia="Times New Roman" w:hAnsi="Times New Roman" w:cs="Times New Roman"/>
          <w:i/>
          <w:iCs/>
        </w:rPr>
        <w:lastRenderedPageBreak/>
        <w:t>titularidad de las competencias exclusivas de los gobiernos autónomos descentralizados.”</w:t>
      </w:r>
    </w:p>
    <w:p w14:paraId="777A97FC"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35259589"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Código Orgánico de Organización Territorial Autonomía y Descentralización COOTAD, publicado en el Suplemento del Registro Oficial No. 303, del 19 de octubre de 2010, desarrolla el respectivo marco constitucional, además de compilar y sistematiza en un solo cuerpo legal los regímenes Municipal, Provincial y de las Juntas Parroquiales, así como las leyes de financiamiento de los gobiernos autónomos descentralizados; </w:t>
      </w:r>
    </w:p>
    <w:p w14:paraId="7DE66D53"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0BFD1113"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literal g) del artículo 3 del Código Orgánico De Organización Territorial, Autonomía y Descentralización, dispone que el ejercicio de la autoridad y las potestades públicas de los gobiernos autónomos descentralizados se regirán por los siguientes principios: Participación </w:t>
      </w:r>
      <w:proofErr w:type="gramStart"/>
      <w:r w:rsidRPr="00D57475">
        <w:rPr>
          <w:rFonts w:ascii="Times New Roman" w:eastAsia="Times New Roman" w:hAnsi="Times New Roman" w:cs="Times New Roman"/>
        </w:rPr>
        <w:t>ciudadana.-</w:t>
      </w:r>
      <w:proofErr w:type="gramEnd"/>
      <w:r w:rsidRPr="00D57475">
        <w:rPr>
          <w:rFonts w:ascii="Times New Roman" w:eastAsia="Times New Roman" w:hAnsi="Times New Roman" w:cs="Times New Roman"/>
        </w:rPr>
        <w:t xml:space="preserve">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w:t>
      </w:r>
    </w:p>
    <w:p w14:paraId="0684CC90"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2FA86ECE"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el literal d) del artículo 4 del Código Orgánico De Organización Territorial, Autonomía Y Descentralización, establece que uno de los fines de los gobiernos autónomos descentralizados es la recuperación y conservación de la naturaleza y el mantenimiento de medio ambiente sostenible y sustentable; </w:t>
      </w:r>
    </w:p>
    <w:p w14:paraId="6BAF9B0B"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Que</w:t>
      </w:r>
    </w:p>
    <w:p w14:paraId="4ADBD667"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el artículo 216 del COOTAD prohíbe prorrogarse la vigencia del presupuesto del año anterior, mientras el artículo 107 del Código Orgánico de Planificación y Finanzas Públicas vuelve obligatoria la prórroga del presupuesto del año anterior en los años en que se posesiona la autoridad electa en las urnas; siendo responsabilidad de la Función Legislativa resolver esa antinomia legislativa; y</w:t>
      </w:r>
    </w:p>
    <w:p w14:paraId="6EBD0C59" w14:textId="77777777" w:rsidR="00D57475" w:rsidRPr="00D57475" w:rsidRDefault="00D57475" w:rsidP="00D57475">
      <w:pPr>
        <w:spacing w:line="276" w:lineRule="auto"/>
        <w:jc w:val="both"/>
        <w:rPr>
          <w:rFonts w:ascii="Times New Roman" w:eastAsia="Times New Roman" w:hAnsi="Times New Roman" w:cs="Times New Roman"/>
          <w:b/>
          <w:bCs/>
        </w:rPr>
      </w:pPr>
      <w:r w:rsidRPr="00D57475">
        <w:rPr>
          <w:rFonts w:ascii="Times New Roman" w:eastAsia="Times New Roman" w:hAnsi="Times New Roman" w:cs="Times New Roman"/>
          <w:b/>
          <w:bCs/>
        </w:rPr>
        <w:t>En</w:t>
      </w:r>
    </w:p>
    <w:p w14:paraId="658FB7DA" w14:textId="77777777" w:rsidR="00D57475" w:rsidRPr="00D57475" w:rsidRDefault="00D57475" w:rsidP="00D57475">
      <w:pPr>
        <w:spacing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ejercicio de las facultades que le confiere el artículo 120, numeral 6, de la Constitución de la República, la Asamblea Nacional del Ecuador expide la siguiente: </w:t>
      </w:r>
    </w:p>
    <w:p w14:paraId="558D1A68" w14:textId="77777777" w:rsidR="00D57475" w:rsidRDefault="00D57475" w:rsidP="00D57475">
      <w:pPr>
        <w:spacing w:line="276" w:lineRule="auto"/>
        <w:ind w:left="720"/>
        <w:jc w:val="both"/>
        <w:rPr>
          <w:rFonts w:ascii="Times New Roman" w:eastAsia="Times New Roman" w:hAnsi="Times New Roman" w:cs="Times New Roman"/>
        </w:rPr>
      </w:pPr>
    </w:p>
    <w:p w14:paraId="7DF1B914" w14:textId="77777777" w:rsidR="006F7A6C" w:rsidRPr="00D57475" w:rsidRDefault="006F7A6C" w:rsidP="00D57475">
      <w:pPr>
        <w:spacing w:line="276" w:lineRule="auto"/>
        <w:ind w:left="720"/>
        <w:jc w:val="both"/>
        <w:rPr>
          <w:rFonts w:ascii="Times New Roman" w:eastAsia="Times New Roman" w:hAnsi="Times New Roman" w:cs="Times New Roman"/>
        </w:rPr>
      </w:pPr>
    </w:p>
    <w:p w14:paraId="213AFD6C" w14:textId="28976830" w:rsidR="00D57475" w:rsidRDefault="00D57475" w:rsidP="006F7A6C">
      <w:pPr>
        <w:spacing w:before="120" w:after="180" w:line="276" w:lineRule="auto"/>
        <w:jc w:val="center"/>
        <w:outlineLvl w:val="0"/>
        <w:rPr>
          <w:rFonts w:ascii="Times New Roman" w:eastAsia="Times New Roman" w:hAnsi="Times New Roman" w:cs="Times New Roman"/>
          <w:b/>
          <w:bCs/>
          <w:kern w:val="36"/>
        </w:rPr>
      </w:pPr>
      <w:bookmarkStart w:id="43" w:name="_Toc123068900"/>
      <w:bookmarkStart w:id="44" w:name="_Toc123235774"/>
      <w:bookmarkStart w:id="45" w:name="_Toc123296929"/>
      <w:r w:rsidRPr="00D57475">
        <w:rPr>
          <w:rFonts w:ascii="Times New Roman" w:eastAsia="Times New Roman" w:hAnsi="Times New Roman" w:cs="Times New Roman"/>
          <w:b/>
          <w:bCs/>
          <w:kern w:val="36"/>
        </w:rPr>
        <w:lastRenderedPageBreak/>
        <w:t xml:space="preserve">LEY ORGÁNICA REFORMATORIA AL CÓDIGO ORGÁNICO DE ORGANIZACIÓN TERRITORIAL, AUTONOMÍA Y DESCENTRALIZACIÓN, PARA </w:t>
      </w:r>
      <w:r w:rsidR="006F7A6C" w:rsidRPr="00D57475">
        <w:rPr>
          <w:rFonts w:ascii="Times New Roman" w:eastAsia="Times New Roman" w:hAnsi="Times New Roman" w:cs="Times New Roman"/>
          <w:b/>
          <w:bCs/>
          <w:kern w:val="36"/>
        </w:rPr>
        <w:t>ARMONIZAR LAS NORMAS SOBRE COMPETENCIAS Y PRESUPUESTOS DE LOS GOBIERNOS AUTÓNOMOS DESCENTRALIZADOS PROVINCIALES</w:t>
      </w:r>
      <w:bookmarkEnd w:id="43"/>
      <w:bookmarkEnd w:id="44"/>
      <w:bookmarkEnd w:id="45"/>
    </w:p>
    <w:p w14:paraId="248B5770" w14:textId="77777777" w:rsidR="006F7A6C" w:rsidRPr="00D57475" w:rsidRDefault="006F7A6C" w:rsidP="00D57475">
      <w:pPr>
        <w:spacing w:before="120" w:after="180" w:line="276" w:lineRule="auto"/>
        <w:jc w:val="both"/>
        <w:outlineLvl w:val="0"/>
        <w:rPr>
          <w:rFonts w:ascii="Times New Roman" w:eastAsia="Times New Roman" w:hAnsi="Times New Roman" w:cs="Times New Roman"/>
          <w:b/>
          <w:bCs/>
          <w:kern w:val="36"/>
        </w:rPr>
      </w:pPr>
    </w:p>
    <w:p w14:paraId="6F18D273"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216 del Código Orgánico de Organización Territorial, Autonomía y Descentralización, a continuación de la frase </w:t>
      </w:r>
      <w:r w:rsidRPr="00D57475">
        <w:rPr>
          <w:rFonts w:ascii="Times New Roman" w:eastAsia="Times New Roman" w:hAnsi="Times New Roman" w:cs="Times New Roman"/>
          <w:i/>
          <w:iCs/>
          <w:sz w:val="24"/>
          <w:szCs w:val="24"/>
        </w:rPr>
        <w:t>“año anterior”</w:t>
      </w:r>
      <w:r w:rsidRPr="00D57475">
        <w:rPr>
          <w:rFonts w:ascii="Times New Roman" w:eastAsia="Times New Roman" w:hAnsi="Times New Roman" w:cs="Times New Roman"/>
          <w:sz w:val="24"/>
          <w:szCs w:val="24"/>
        </w:rPr>
        <w:t xml:space="preserve">, incorpórese la siguiente redacción: </w:t>
      </w:r>
      <w:r w:rsidRPr="00D57475">
        <w:rPr>
          <w:rFonts w:ascii="Times New Roman" w:eastAsia="Times New Roman" w:hAnsi="Times New Roman" w:cs="Times New Roman"/>
          <w:i/>
          <w:iCs/>
          <w:sz w:val="24"/>
          <w:szCs w:val="24"/>
        </w:rPr>
        <w:t>“, salvo lo previsto para el año en que se posesione la máxima autoridad de elección popular del gobierno autónomo descentralizado.”</w:t>
      </w:r>
    </w:p>
    <w:p w14:paraId="264E8B27" w14:textId="77777777" w:rsidR="00D57475" w:rsidRPr="00D57475" w:rsidRDefault="00D57475" w:rsidP="00D57475">
      <w:pPr>
        <w:rPr>
          <w:rFonts w:ascii="Times New Roman" w:hAnsi="Times New Roman" w:cs="Times New Roman"/>
        </w:rPr>
      </w:pPr>
    </w:p>
    <w:p w14:paraId="2E3D16EF"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233 del COOTAD,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el plan operativo anual y presupuesto se preparará hasta el 30 de junio del año en curso.”</w:t>
      </w:r>
    </w:p>
    <w:p w14:paraId="78A59867" w14:textId="77777777" w:rsidR="00D57475" w:rsidRPr="00D57475" w:rsidRDefault="00D57475" w:rsidP="00D57475">
      <w:pPr>
        <w:pStyle w:val="Prrafodelista"/>
        <w:rPr>
          <w:rFonts w:ascii="Times New Roman" w:eastAsia="Times New Roman" w:hAnsi="Times New Roman" w:cs="Times New Roman"/>
          <w:sz w:val="24"/>
          <w:szCs w:val="24"/>
        </w:rPr>
      </w:pPr>
    </w:p>
    <w:p w14:paraId="03D48F7F"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235 del COOTAD,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la estimación de ingresos será la misma del presupuesto prorrogado.”</w:t>
      </w:r>
    </w:p>
    <w:p w14:paraId="0C91BA28" w14:textId="77777777" w:rsidR="00D57475" w:rsidRPr="00D57475" w:rsidRDefault="00D57475" w:rsidP="00D57475">
      <w:pPr>
        <w:pStyle w:val="Prrafodelista"/>
        <w:rPr>
          <w:rFonts w:ascii="Times New Roman" w:eastAsia="Times New Roman" w:hAnsi="Times New Roman" w:cs="Times New Roman"/>
          <w:sz w:val="24"/>
          <w:szCs w:val="24"/>
        </w:rPr>
      </w:pPr>
    </w:p>
    <w:p w14:paraId="4D9F3ACA"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237 del COOTAD,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el cálculo definitivo de ingresos será el mismo del presupuesto prorrogado.”</w:t>
      </w:r>
    </w:p>
    <w:p w14:paraId="709F424E" w14:textId="77777777" w:rsidR="00D57475" w:rsidRPr="00D57475" w:rsidRDefault="00D57475" w:rsidP="00D57475">
      <w:pPr>
        <w:pStyle w:val="Prrafodelista"/>
        <w:rPr>
          <w:rFonts w:ascii="Times New Roman" w:eastAsia="Times New Roman" w:hAnsi="Times New Roman" w:cs="Times New Roman"/>
          <w:sz w:val="24"/>
          <w:szCs w:val="24"/>
        </w:rPr>
      </w:pPr>
    </w:p>
    <w:p w14:paraId="28BF8BE5"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238 del COOTAD, realícese la siguiente reforma: </w:t>
      </w:r>
    </w:p>
    <w:p w14:paraId="576696D9" w14:textId="77777777" w:rsidR="00D57475" w:rsidRPr="00D57475" w:rsidRDefault="00D57475" w:rsidP="00D57475">
      <w:pPr>
        <w:pStyle w:val="Prrafodelista"/>
        <w:spacing w:before="120" w:after="0" w:line="276" w:lineRule="auto"/>
        <w:ind w:left="0"/>
        <w:jc w:val="both"/>
        <w:rPr>
          <w:rFonts w:ascii="Times New Roman" w:eastAsia="Times New Roman" w:hAnsi="Times New Roman" w:cs="Times New Roman"/>
          <w:sz w:val="24"/>
          <w:szCs w:val="24"/>
        </w:rPr>
      </w:pPr>
    </w:p>
    <w:p w14:paraId="15B5E7B0" w14:textId="77777777" w:rsidR="00D57475" w:rsidRPr="00D57475" w:rsidRDefault="00D57475" w:rsidP="00D57475">
      <w:pPr>
        <w:pStyle w:val="Prrafodelista"/>
        <w:numPr>
          <w:ilvl w:val="1"/>
          <w:numId w:val="19"/>
        </w:numPr>
        <w:spacing w:before="120" w:after="100" w:afterAutospacing="1" w:line="276" w:lineRule="auto"/>
        <w:ind w:left="1134"/>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el ejecutivo del gobierno autónomo descentralizado presentará a la máxima instancia de participación ciudadana el cálculo definitivo de ingresos tal como consta en el presupuesto prorrogado.”</w:t>
      </w:r>
    </w:p>
    <w:p w14:paraId="7E861124" w14:textId="77777777" w:rsidR="00D57475" w:rsidRPr="00D57475" w:rsidRDefault="00D57475" w:rsidP="00D57475">
      <w:pPr>
        <w:pStyle w:val="Prrafodelista"/>
        <w:spacing w:before="120" w:after="100" w:afterAutospacing="1" w:line="276" w:lineRule="auto"/>
        <w:ind w:left="1134"/>
        <w:jc w:val="both"/>
        <w:rPr>
          <w:rFonts w:ascii="Times New Roman" w:eastAsia="Times New Roman" w:hAnsi="Times New Roman" w:cs="Times New Roman"/>
          <w:sz w:val="24"/>
          <w:szCs w:val="24"/>
        </w:rPr>
      </w:pPr>
    </w:p>
    <w:p w14:paraId="784C99D8"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239 del COOTAD, incorpórese un inciso final con la siguiente redacción: </w:t>
      </w:r>
      <w:r w:rsidRPr="00D57475">
        <w:rPr>
          <w:rFonts w:ascii="Times New Roman" w:eastAsia="Times New Roman" w:hAnsi="Times New Roman" w:cs="Times New Roman"/>
          <w:i/>
          <w:iCs/>
          <w:sz w:val="24"/>
          <w:szCs w:val="24"/>
        </w:rPr>
        <w:t xml:space="preserve">“En el año en que se posesiona la máxima autoridad del gobierno autónomo </w:t>
      </w:r>
      <w:r w:rsidRPr="00D57475">
        <w:rPr>
          <w:rFonts w:ascii="Times New Roman" w:eastAsia="Times New Roman" w:hAnsi="Times New Roman" w:cs="Times New Roman"/>
          <w:i/>
          <w:iCs/>
          <w:sz w:val="24"/>
          <w:szCs w:val="24"/>
        </w:rPr>
        <w:lastRenderedPageBreak/>
        <w:t>descentralizado, la presentación de los programas, subprogramas y proyectos correspondiente a dicho año se presentará máximo hasta el 31 de julio.”</w:t>
      </w:r>
    </w:p>
    <w:p w14:paraId="2DB6F8C5" w14:textId="77777777" w:rsidR="00D57475" w:rsidRPr="00D57475" w:rsidRDefault="00D57475" w:rsidP="00D57475">
      <w:pPr>
        <w:pStyle w:val="Prrafodelista"/>
        <w:spacing w:before="120" w:after="0" w:line="276" w:lineRule="auto"/>
        <w:ind w:left="0"/>
        <w:jc w:val="both"/>
        <w:rPr>
          <w:rFonts w:ascii="Times New Roman" w:eastAsia="Times New Roman" w:hAnsi="Times New Roman" w:cs="Times New Roman"/>
          <w:sz w:val="24"/>
          <w:szCs w:val="24"/>
        </w:rPr>
      </w:pPr>
    </w:p>
    <w:p w14:paraId="5F72566F"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240 del COOTAD,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la presentación del anteproyecto de presupuesto se presentará hasta el 15 de agosto del mismo año.”</w:t>
      </w:r>
    </w:p>
    <w:p w14:paraId="406ADB5B" w14:textId="77777777" w:rsidR="00D57475" w:rsidRPr="00D57475" w:rsidRDefault="00D57475" w:rsidP="00D57475">
      <w:pPr>
        <w:pStyle w:val="Prrafodelista"/>
        <w:rPr>
          <w:rFonts w:ascii="Times New Roman" w:eastAsia="Times New Roman" w:hAnsi="Times New Roman" w:cs="Times New Roman"/>
          <w:sz w:val="24"/>
          <w:szCs w:val="24"/>
        </w:rPr>
      </w:pPr>
    </w:p>
    <w:p w14:paraId="5E6E15A3" w14:textId="77777777" w:rsidR="00D57475" w:rsidRPr="00D57475" w:rsidRDefault="00D57475" w:rsidP="00D57475">
      <w:pPr>
        <w:pStyle w:val="Prrafodelista"/>
        <w:numPr>
          <w:ilvl w:val="0"/>
          <w:numId w:val="18"/>
        </w:numPr>
        <w:tabs>
          <w:tab w:val="left" w:pos="851"/>
        </w:tabs>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241 del COOTAD, realícense las siguientes reformas: </w:t>
      </w:r>
    </w:p>
    <w:p w14:paraId="4040F76A" w14:textId="77777777" w:rsidR="00D57475" w:rsidRPr="00D57475" w:rsidRDefault="00D57475" w:rsidP="00D57475">
      <w:pPr>
        <w:numPr>
          <w:ilvl w:val="0"/>
          <w:numId w:val="17"/>
        </w:numPr>
        <w:spacing w:before="120" w:after="100" w:afterAutospacing="1" w:line="276" w:lineRule="auto"/>
        <w:ind w:left="1276"/>
        <w:jc w:val="both"/>
        <w:rPr>
          <w:rFonts w:ascii="Times New Roman" w:eastAsia="Times New Roman" w:hAnsi="Times New Roman" w:cs="Times New Roman"/>
        </w:rPr>
      </w:pPr>
      <w:r w:rsidRPr="00D57475">
        <w:rPr>
          <w:rFonts w:ascii="Times New Roman" w:eastAsia="Times New Roman" w:hAnsi="Times New Roman" w:cs="Times New Roman"/>
        </w:rPr>
        <w:t xml:space="preserve">En el inciso primero, a continuación de la palabra </w:t>
      </w:r>
      <w:r w:rsidRPr="00D57475">
        <w:rPr>
          <w:rFonts w:ascii="Times New Roman" w:eastAsia="Times New Roman" w:hAnsi="Times New Roman" w:cs="Times New Roman"/>
          <w:i/>
          <w:iCs/>
        </w:rPr>
        <w:t>“conocido”</w:t>
      </w:r>
      <w:r w:rsidRPr="00D57475">
        <w:rPr>
          <w:rFonts w:ascii="Times New Roman" w:eastAsia="Times New Roman" w:hAnsi="Times New Roman" w:cs="Times New Roman"/>
        </w:rPr>
        <w:t xml:space="preserve">, incorpórese la siguiente frase: </w:t>
      </w:r>
      <w:r w:rsidRPr="00D57475">
        <w:rPr>
          <w:rFonts w:ascii="Times New Roman" w:eastAsia="Times New Roman" w:hAnsi="Times New Roman" w:cs="Times New Roman"/>
          <w:i/>
          <w:iCs/>
        </w:rPr>
        <w:t xml:space="preserve">“, hasta el 31 de octubre,” </w:t>
      </w:r>
      <w:r w:rsidRPr="00D57475">
        <w:rPr>
          <w:rFonts w:ascii="Times New Roman" w:eastAsia="Times New Roman" w:hAnsi="Times New Roman" w:cs="Times New Roman"/>
        </w:rPr>
        <w:t>y</w:t>
      </w:r>
    </w:p>
    <w:p w14:paraId="17607840" w14:textId="77777777" w:rsidR="00D57475" w:rsidRPr="00D57475" w:rsidRDefault="00D57475" w:rsidP="00D57475">
      <w:pPr>
        <w:numPr>
          <w:ilvl w:val="0"/>
          <w:numId w:val="17"/>
        </w:numPr>
        <w:spacing w:before="120" w:after="100" w:afterAutospacing="1" w:line="276" w:lineRule="auto"/>
        <w:ind w:left="1276"/>
        <w:jc w:val="both"/>
        <w:rPr>
          <w:rFonts w:ascii="Times New Roman" w:eastAsia="Times New Roman" w:hAnsi="Times New Roman" w:cs="Times New Roman"/>
        </w:rPr>
      </w:pPr>
      <w:r w:rsidRPr="00D57475">
        <w:rPr>
          <w:rFonts w:ascii="Times New Roman" w:eastAsia="Times New Roman" w:hAnsi="Times New Roman" w:cs="Times New Roman"/>
        </w:rPr>
        <w:t xml:space="preserve">Al final de este artículo, incorpórese un inciso final, con la siguiente redacción: </w:t>
      </w:r>
      <w:r w:rsidRPr="00D57475">
        <w:rPr>
          <w:rFonts w:ascii="Times New Roman" w:eastAsia="Times New Roman" w:hAnsi="Times New Roman" w:cs="Times New Roman"/>
          <w:i/>
          <w:iCs/>
        </w:rPr>
        <w:t xml:space="preserve">“En el año en que se posesiona la máxima autoridad del gobierno autónomo descentralizado, el ejecutivo del gobierno autónomo descentralizado presentará a la máxima instancia de participación ciudadana el anteproyecto de presupuesto hasta el 1 de septiembre.” </w:t>
      </w:r>
    </w:p>
    <w:p w14:paraId="6AF1E173" w14:textId="77777777" w:rsidR="00D57475" w:rsidRPr="00D57475" w:rsidRDefault="00D57475" w:rsidP="00D57475">
      <w:pPr>
        <w:pStyle w:val="Prrafodelista"/>
        <w:rPr>
          <w:rFonts w:ascii="Times New Roman" w:eastAsia="Times New Roman" w:hAnsi="Times New Roman" w:cs="Times New Roman"/>
          <w:sz w:val="24"/>
          <w:szCs w:val="24"/>
        </w:rPr>
      </w:pPr>
    </w:p>
    <w:p w14:paraId="5C62ED70" w14:textId="77777777" w:rsidR="00D57475" w:rsidRPr="00D57475" w:rsidRDefault="00D57475" w:rsidP="00D57475">
      <w:pPr>
        <w:pStyle w:val="Prrafodelista"/>
        <w:numPr>
          <w:ilvl w:val="0"/>
          <w:numId w:val="18"/>
        </w:numPr>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242 del COOTAD, incorpórese un inciso final con la siguiente redacción: </w:t>
      </w:r>
      <w:r w:rsidRPr="00D57475">
        <w:rPr>
          <w:rFonts w:ascii="Times New Roman" w:eastAsia="Times New Roman" w:hAnsi="Times New Roman" w:cs="Times New Roman"/>
          <w:i/>
          <w:iCs/>
          <w:sz w:val="24"/>
          <w:szCs w:val="24"/>
        </w:rPr>
        <w:t xml:space="preserve">“En el año en que se posesiona la máxima autoridad del gobierno autónomo descentralizado, dicha autoridad presentará el proyecto definitivo de presupuesto del año que </w:t>
      </w:r>
      <w:proofErr w:type="spellStart"/>
      <w:r w:rsidRPr="00D57475">
        <w:rPr>
          <w:rFonts w:ascii="Times New Roman" w:eastAsia="Times New Roman" w:hAnsi="Times New Roman" w:cs="Times New Roman"/>
          <w:i/>
          <w:iCs/>
          <w:sz w:val="24"/>
          <w:szCs w:val="24"/>
        </w:rPr>
        <w:t>decurre</w:t>
      </w:r>
      <w:proofErr w:type="spellEnd"/>
      <w:r w:rsidRPr="00D57475">
        <w:rPr>
          <w:rFonts w:ascii="Times New Roman" w:eastAsia="Times New Roman" w:hAnsi="Times New Roman" w:cs="Times New Roman"/>
          <w:i/>
          <w:iCs/>
          <w:sz w:val="24"/>
          <w:szCs w:val="24"/>
        </w:rPr>
        <w:t xml:space="preserve"> hasta el 1 de septiembre.”</w:t>
      </w:r>
    </w:p>
    <w:p w14:paraId="5A3BDAD8" w14:textId="77777777" w:rsidR="00D57475" w:rsidRPr="00D57475" w:rsidRDefault="00D57475" w:rsidP="00D57475">
      <w:pPr>
        <w:pStyle w:val="Prrafodelista"/>
        <w:rPr>
          <w:rFonts w:ascii="Times New Roman" w:eastAsia="Times New Roman" w:hAnsi="Times New Roman" w:cs="Times New Roman"/>
          <w:sz w:val="24"/>
          <w:szCs w:val="24"/>
        </w:rPr>
      </w:pPr>
    </w:p>
    <w:p w14:paraId="454785A8" w14:textId="77777777" w:rsidR="00D57475" w:rsidRPr="00D57475" w:rsidRDefault="00D57475" w:rsidP="00D57475">
      <w:pPr>
        <w:pStyle w:val="Prrafodelista"/>
        <w:numPr>
          <w:ilvl w:val="0"/>
          <w:numId w:val="18"/>
        </w:numPr>
        <w:tabs>
          <w:tab w:val="left" w:pos="851"/>
        </w:tabs>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244 del COOTAD,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el informe de la comisión de presupuesto se emitirá hasta el 20 de septiembre.”</w:t>
      </w:r>
    </w:p>
    <w:p w14:paraId="63DF5B2A" w14:textId="77777777" w:rsidR="00D57475" w:rsidRPr="00D57475" w:rsidRDefault="00D57475" w:rsidP="00D57475">
      <w:pPr>
        <w:pStyle w:val="Prrafodelista"/>
        <w:tabs>
          <w:tab w:val="left" w:pos="851"/>
        </w:tabs>
        <w:rPr>
          <w:rFonts w:ascii="Times New Roman" w:eastAsia="Times New Roman" w:hAnsi="Times New Roman" w:cs="Times New Roman"/>
          <w:sz w:val="24"/>
          <w:szCs w:val="24"/>
        </w:rPr>
      </w:pPr>
    </w:p>
    <w:p w14:paraId="0AB951FF" w14:textId="77777777" w:rsidR="00D57475" w:rsidRPr="00D57475" w:rsidRDefault="00D57475" w:rsidP="00D57475">
      <w:pPr>
        <w:pStyle w:val="Prrafodelista"/>
        <w:numPr>
          <w:ilvl w:val="0"/>
          <w:numId w:val="18"/>
        </w:numPr>
        <w:tabs>
          <w:tab w:val="left" w:pos="851"/>
        </w:tabs>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245 del COOTAD, incorpórese un inciso final con la siguiente redacción: </w:t>
      </w:r>
      <w:r w:rsidRPr="00D57475">
        <w:rPr>
          <w:rFonts w:ascii="Times New Roman" w:eastAsia="Times New Roman" w:hAnsi="Times New Roman" w:cs="Times New Roman"/>
          <w:i/>
          <w:iCs/>
          <w:sz w:val="24"/>
          <w:szCs w:val="24"/>
        </w:rPr>
        <w:t>“En el año en que se posesiona la máxima autoridad del gobierno autónomo descentralizado, la aprobación en dos sesiones se realizará hasta el 10 de octubre de dicho año.”</w:t>
      </w:r>
    </w:p>
    <w:p w14:paraId="028B6128" w14:textId="77777777" w:rsidR="00D57475" w:rsidRPr="00D57475" w:rsidRDefault="00D57475" w:rsidP="00D57475">
      <w:pPr>
        <w:pStyle w:val="Prrafodelista"/>
        <w:tabs>
          <w:tab w:val="left" w:pos="851"/>
        </w:tabs>
        <w:rPr>
          <w:rFonts w:ascii="Times New Roman" w:eastAsia="Times New Roman" w:hAnsi="Times New Roman" w:cs="Times New Roman"/>
          <w:sz w:val="24"/>
          <w:szCs w:val="24"/>
        </w:rPr>
      </w:pPr>
    </w:p>
    <w:p w14:paraId="381AF3E1" w14:textId="77777777" w:rsidR="00D57475" w:rsidRPr="00D57475" w:rsidRDefault="00D57475" w:rsidP="00D57475">
      <w:pPr>
        <w:pStyle w:val="Prrafodelista"/>
        <w:numPr>
          <w:ilvl w:val="0"/>
          <w:numId w:val="18"/>
        </w:numPr>
        <w:tabs>
          <w:tab w:val="left" w:pos="851"/>
        </w:tabs>
        <w:spacing w:before="120" w:after="0" w:line="276" w:lineRule="auto"/>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 xml:space="preserve">En el artículo 247 del COOTAD, incorpórese un inciso final con la siguiente redacción: </w:t>
      </w:r>
      <w:r w:rsidRPr="00D57475">
        <w:rPr>
          <w:rFonts w:ascii="Times New Roman" w:eastAsia="Times New Roman" w:hAnsi="Times New Roman" w:cs="Times New Roman"/>
          <w:i/>
          <w:iCs/>
          <w:sz w:val="24"/>
          <w:szCs w:val="24"/>
        </w:rPr>
        <w:t xml:space="preserve">“En el año en que se posesiona la máxima autoridad del gobierno autónomo </w:t>
      </w:r>
      <w:r w:rsidRPr="00D57475">
        <w:rPr>
          <w:rFonts w:ascii="Times New Roman" w:eastAsia="Times New Roman" w:hAnsi="Times New Roman" w:cs="Times New Roman"/>
          <w:i/>
          <w:iCs/>
          <w:sz w:val="24"/>
          <w:szCs w:val="24"/>
        </w:rPr>
        <w:lastRenderedPageBreak/>
        <w:t xml:space="preserve">descentralizado, la sanción o veto podrá realizarse hasta el 15 de octubre y el órgano legislativo deberá pronunciarse sobre el veto hasta el 20 de octubre.” </w:t>
      </w:r>
    </w:p>
    <w:p w14:paraId="7D0AC8FE" w14:textId="77777777" w:rsidR="00D57475" w:rsidRPr="00D57475" w:rsidRDefault="00D57475" w:rsidP="00D57475">
      <w:pPr>
        <w:pStyle w:val="Prrafodelista"/>
        <w:tabs>
          <w:tab w:val="left" w:pos="851"/>
        </w:tabs>
        <w:rPr>
          <w:rFonts w:ascii="Times New Roman" w:eastAsia="Times New Roman" w:hAnsi="Times New Roman" w:cs="Times New Roman"/>
          <w:sz w:val="24"/>
          <w:szCs w:val="24"/>
        </w:rPr>
      </w:pPr>
    </w:p>
    <w:p w14:paraId="21CDA958" w14:textId="77777777" w:rsidR="00D57475" w:rsidRPr="00D57475" w:rsidRDefault="00D57475" w:rsidP="00D57475">
      <w:pPr>
        <w:spacing w:before="120" w:after="100" w:afterAutospacing="1" w:line="276" w:lineRule="auto"/>
        <w:jc w:val="both"/>
        <w:outlineLvl w:val="4"/>
        <w:rPr>
          <w:rFonts w:ascii="Times New Roman" w:eastAsia="Times New Roman" w:hAnsi="Times New Roman" w:cs="Times New Roman"/>
          <w:b/>
          <w:bCs/>
        </w:rPr>
      </w:pPr>
      <w:r w:rsidRPr="00D57475">
        <w:rPr>
          <w:rFonts w:ascii="Times New Roman" w:eastAsia="Times New Roman" w:hAnsi="Times New Roman" w:cs="Times New Roman"/>
          <w:b/>
          <w:bCs/>
        </w:rPr>
        <w:t xml:space="preserve">DISPOSICIONES REFORMATORIAS </w:t>
      </w:r>
    </w:p>
    <w:p w14:paraId="69E64C30" w14:textId="77777777" w:rsidR="00D57475" w:rsidRPr="00D57475" w:rsidRDefault="00D57475" w:rsidP="00D57475">
      <w:pPr>
        <w:spacing w:before="120" w:line="276" w:lineRule="auto"/>
        <w:jc w:val="both"/>
        <w:rPr>
          <w:rFonts w:ascii="Times New Roman" w:eastAsia="Times New Roman" w:hAnsi="Times New Roman" w:cs="Times New Roman"/>
          <w:b/>
          <w:bCs/>
        </w:rPr>
      </w:pPr>
      <w:proofErr w:type="gramStart"/>
      <w:r w:rsidRPr="00D57475">
        <w:rPr>
          <w:rFonts w:ascii="Times New Roman" w:eastAsia="Times New Roman" w:hAnsi="Times New Roman" w:cs="Times New Roman"/>
          <w:b/>
          <w:bCs/>
        </w:rPr>
        <w:t>Primera.-</w:t>
      </w:r>
      <w:proofErr w:type="gramEnd"/>
    </w:p>
    <w:p w14:paraId="4305C89F"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En el artículo 107 del Código Orgánico de Planificación y Finanzas Públicas, realícense las siguientes reformas: </w:t>
      </w:r>
    </w:p>
    <w:p w14:paraId="4FEE46EA" w14:textId="77777777" w:rsidR="00D57475" w:rsidRPr="00D57475" w:rsidRDefault="00D57475" w:rsidP="00D57475">
      <w:pPr>
        <w:pStyle w:val="Prrafodelista"/>
        <w:spacing w:before="120" w:after="0" w:line="276" w:lineRule="auto"/>
        <w:ind w:left="1440"/>
        <w:jc w:val="both"/>
        <w:rPr>
          <w:rFonts w:ascii="Times New Roman" w:eastAsia="Times New Roman" w:hAnsi="Times New Roman" w:cs="Times New Roman"/>
          <w:b/>
          <w:bCs/>
          <w:sz w:val="24"/>
          <w:szCs w:val="24"/>
        </w:rPr>
      </w:pPr>
    </w:p>
    <w:p w14:paraId="03235FF8" w14:textId="77777777" w:rsidR="00D57475" w:rsidRPr="00D57475" w:rsidRDefault="00D57475" w:rsidP="00D57475">
      <w:pPr>
        <w:numPr>
          <w:ilvl w:val="6"/>
          <w:numId w:val="22"/>
        </w:numPr>
        <w:pBdr>
          <w:top w:val="nil"/>
          <w:left w:val="nil"/>
          <w:bottom w:val="nil"/>
          <w:right w:val="nil"/>
          <w:between w:val="nil"/>
        </w:pBdr>
        <w:spacing w:before="120" w:line="276" w:lineRule="auto"/>
        <w:ind w:left="1276" w:hanging="425"/>
        <w:jc w:val="both"/>
        <w:rPr>
          <w:rFonts w:ascii="Times New Roman" w:eastAsia="Times New Roman" w:hAnsi="Times New Roman" w:cs="Times New Roman"/>
        </w:rPr>
      </w:pPr>
      <w:r w:rsidRPr="00D57475">
        <w:rPr>
          <w:rFonts w:ascii="Times New Roman" w:eastAsia="Times New Roman" w:hAnsi="Times New Roman" w:cs="Times New Roman"/>
        </w:rPr>
        <w:t xml:space="preserve">En el inciso primero, elimínese: </w:t>
      </w:r>
      <w:r w:rsidRPr="00D57475">
        <w:rPr>
          <w:rFonts w:ascii="Times New Roman" w:eastAsia="Times New Roman" w:hAnsi="Times New Roman" w:cs="Times New Roman"/>
          <w:i/>
          <w:iCs/>
        </w:rPr>
        <w:t>sustitúyase: “que aplicarán el presupuesto codificado al 1 de enero del año anterior” por “, quienes se someterán a la siguiente regla:”.</w:t>
      </w:r>
    </w:p>
    <w:p w14:paraId="7F256237" w14:textId="77777777" w:rsidR="00D57475" w:rsidRPr="00D57475" w:rsidRDefault="00D57475" w:rsidP="00D57475">
      <w:pPr>
        <w:numPr>
          <w:ilvl w:val="6"/>
          <w:numId w:val="22"/>
        </w:numPr>
        <w:pBdr>
          <w:top w:val="nil"/>
          <w:left w:val="nil"/>
          <w:bottom w:val="nil"/>
          <w:right w:val="nil"/>
          <w:between w:val="nil"/>
        </w:pBdr>
        <w:spacing w:before="120" w:line="276" w:lineRule="auto"/>
        <w:ind w:left="1276" w:hanging="425"/>
        <w:jc w:val="both"/>
        <w:rPr>
          <w:rFonts w:ascii="Times New Roman" w:eastAsia="Times New Roman" w:hAnsi="Times New Roman" w:cs="Times New Roman"/>
        </w:rPr>
      </w:pPr>
      <w:r w:rsidRPr="00D57475">
        <w:rPr>
          <w:rFonts w:ascii="Times New Roman" w:eastAsia="Times New Roman" w:hAnsi="Times New Roman" w:cs="Times New Roman"/>
        </w:rPr>
        <w:t xml:space="preserve">El inciso segundo, sustitúyase por el siguiente: </w:t>
      </w:r>
      <w:r w:rsidRPr="00D57475">
        <w:rPr>
          <w:rFonts w:ascii="Times New Roman" w:eastAsia="Times New Roman" w:hAnsi="Times New Roman" w:cs="Times New Roman"/>
          <w:i/>
          <w:iCs/>
        </w:rPr>
        <w:t>“En los años en los que exista posesión de su máxima autoridad, los Gobiernos Autónomos Descentralizados y sus Empresas Públicas, así como el Sistema Nacional de Educación y del Sistema de Educación Superior, aplicarán el presupuesto inicial al 1 de enero del año anterior.”</w:t>
      </w:r>
    </w:p>
    <w:p w14:paraId="5835CFDE" w14:textId="77777777" w:rsidR="00D57475" w:rsidRPr="00D57475" w:rsidRDefault="00D57475" w:rsidP="00D57475">
      <w:pPr>
        <w:spacing w:before="120" w:after="100" w:afterAutospacing="1" w:line="276" w:lineRule="auto"/>
        <w:jc w:val="both"/>
        <w:outlineLvl w:val="4"/>
        <w:rPr>
          <w:rFonts w:ascii="Times New Roman" w:eastAsia="Times New Roman" w:hAnsi="Times New Roman" w:cs="Times New Roman"/>
          <w:b/>
          <w:bCs/>
        </w:rPr>
      </w:pPr>
      <w:proofErr w:type="gramStart"/>
      <w:r w:rsidRPr="00D57475">
        <w:rPr>
          <w:rFonts w:ascii="Times New Roman" w:eastAsia="Times New Roman" w:hAnsi="Times New Roman" w:cs="Times New Roman"/>
          <w:b/>
          <w:bCs/>
        </w:rPr>
        <w:t>Segunda.-</w:t>
      </w:r>
      <w:proofErr w:type="gramEnd"/>
    </w:p>
    <w:p w14:paraId="23745A2E"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rPr>
        <w:t xml:space="preserve">En la DISPOSICIÓN GENERAL PRIMERA de la Ley Orgánica de Recursos Hídricos Usos y Aprovechamiento del Agua, realícense las siguientes reformas: </w:t>
      </w:r>
    </w:p>
    <w:p w14:paraId="41B46B15" w14:textId="77777777" w:rsidR="00D57475" w:rsidRPr="00D57475" w:rsidRDefault="00D57475" w:rsidP="00D57475">
      <w:pPr>
        <w:pStyle w:val="Prrafodelista"/>
        <w:numPr>
          <w:ilvl w:val="0"/>
          <w:numId w:val="23"/>
        </w:numPr>
        <w:tabs>
          <w:tab w:val="left" w:pos="1560"/>
        </w:tabs>
        <w:spacing w:before="120" w:after="0" w:line="276" w:lineRule="auto"/>
        <w:ind w:left="1276"/>
        <w:jc w:val="both"/>
        <w:rPr>
          <w:rFonts w:ascii="Times New Roman" w:eastAsia="Times New Roman" w:hAnsi="Times New Roman" w:cs="Times New Roman"/>
          <w:sz w:val="24"/>
          <w:szCs w:val="24"/>
        </w:rPr>
      </w:pPr>
      <w:r w:rsidRPr="00D57475">
        <w:rPr>
          <w:rFonts w:ascii="Times New Roman" w:eastAsia="Times New Roman" w:hAnsi="Times New Roman" w:cs="Times New Roman"/>
          <w:sz w:val="24"/>
          <w:szCs w:val="24"/>
        </w:rPr>
        <w:t>A continuación del primer inciso agregar un segundo inciso con el siguiente texto: “</w:t>
      </w:r>
      <w:r w:rsidRPr="00D57475">
        <w:rPr>
          <w:rFonts w:ascii="Times New Roman" w:eastAsia="Times New Roman" w:hAnsi="Times New Roman" w:cs="Times New Roman"/>
          <w:i/>
          <w:iCs/>
          <w:sz w:val="24"/>
          <w:szCs w:val="24"/>
        </w:rPr>
        <w:t xml:space="preserve">La transferencia de los recursos correspondientes a esta competencia no estará condicionada a la aprobación de proyectos de inversión o de </w:t>
      </w:r>
      <w:proofErr w:type="gramStart"/>
      <w:r w:rsidRPr="00D57475">
        <w:rPr>
          <w:rFonts w:ascii="Times New Roman" w:eastAsia="Times New Roman" w:hAnsi="Times New Roman" w:cs="Times New Roman"/>
          <w:i/>
          <w:iCs/>
          <w:sz w:val="24"/>
          <w:szCs w:val="24"/>
        </w:rPr>
        <w:t>pre inversión</w:t>
      </w:r>
      <w:proofErr w:type="gramEnd"/>
      <w:r w:rsidRPr="00D57475">
        <w:rPr>
          <w:rFonts w:ascii="Times New Roman" w:eastAsia="Times New Roman" w:hAnsi="Times New Roman" w:cs="Times New Roman"/>
          <w:i/>
          <w:iCs/>
          <w:sz w:val="24"/>
          <w:szCs w:val="24"/>
        </w:rPr>
        <w:t>.”</w:t>
      </w:r>
    </w:p>
    <w:p w14:paraId="417CCC56" w14:textId="77777777" w:rsidR="00D57475" w:rsidRPr="00D57475" w:rsidRDefault="00D57475" w:rsidP="00D57475">
      <w:pPr>
        <w:spacing w:before="120" w:after="100" w:afterAutospacing="1" w:line="276" w:lineRule="auto"/>
        <w:jc w:val="both"/>
        <w:outlineLvl w:val="4"/>
        <w:rPr>
          <w:rFonts w:ascii="Times New Roman" w:eastAsia="Times New Roman" w:hAnsi="Times New Roman" w:cs="Times New Roman"/>
          <w:b/>
          <w:bCs/>
        </w:rPr>
      </w:pPr>
    </w:p>
    <w:p w14:paraId="6BB7D28F" w14:textId="77777777" w:rsidR="00D57475" w:rsidRPr="00D57475" w:rsidRDefault="00D57475" w:rsidP="00D57475">
      <w:pPr>
        <w:spacing w:before="120" w:after="100" w:afterAutospacing="1" w:line="276" w:lineRule="auto"/>
        <w:jc w:val="both"/>
        <w:outlineLvl w:val="4"/>
        <w:rPr>
          <w:rFonts w:ascii="Times New Roman" w:eastAsia="Times New Roman" w:hAnsi="Times New Roman" w:cs="Times New Roman"/>
          <w:b/>
          <w:bCs/>
        </w:rPr>
      </w:pPr>
      <w:r w:rsidRPr="00D57475">
        <w:rPr>
          <w:rFonts w:ascii="Times New Roman" w:eastAsia="Times New Roman" w:hAnsi="Times New Roman" w:cs="Times New Roman"/>
          <w:b/>
          <w:bCs/>
        </w:rPr>
        <w:t>DISPOSICIONES TRANSITORIAS</w:t>
      </w:r>
    </w:p>
    <w:p w14:paraId="0615B78E" w14:textId="77777777" w:rsidR="00D57475" w:rsidRPr="00D57475" w:rsidRDefault="00D57475" w:rsidP="00D57475">
      <w:pPr>
        <w:spacing w:before="120" w:line="276" w:lineRule="auto"/>
        <w:jc w:val="both"/>
        <w:rPr>
          <w:rFonts w:ascii="Times New Roman" w:eastAsia="Times New Roman" w:hAnsi="Times New Roman" w:cs="Times New Roman"/>
          <w:b/>
          <w:bCs/>
        </w:rPr>
      </w:pPr>
      <w:proofErr w:type="gramStart"/>
      <w:r w:rsidRPr="00D57475">
        <w:rPr>
          <w:rFonts w:ascii="Times New Roman" w:eastAsia="Times New Roman" w:hAnsi="Times New Roman" w:cs="Times New Roman"/>
          <w:b/>
          <w:bCs/>
        </w:rPr>
        <w:t>Primera.-</w:t>
      </w:r>
      <w:proofErr w:type="gramEnd"/>
    </w:p>
    <w:p w14:paraId="0A2F82F4"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i/>
          <w:iCs/>
        </w:rPr>
        <w:t xml:space="preserve">En el plazo de sesenta días desde la vigencia de esta reforma, el Ministerio que ejerce la autoridad única del agua actualizará su "Guía para la formulación de proyectos </w:t>
      </w:r>
      <w:r w:rsidRPr="00D57475">
        <w:rPr>
          <w:rFonts w:ascii="Times New Roman" w:eastAsia="Times New Roman" w:hAnsi="Times New Roman" w:cs="Times New Roman"/>
          <w:i/>
          <w:iCs/>
        </w:rPr>
        <w:lastRenderedPageBreak/>
        <w:t>de riego y drenaje" a fin de establecer parámetros concretos de calificación de proyectos de inversión para ser considerados para financiamiento.</w:t>
      </w:r>
    </w:p>
    <w:p w14:paraId="5BBF7F3D" w14:textId="77777777" w:rsidR="00D57475" w:rsidRPr="00D57475" w:rsidRDefault="00D57475" w:rsidP="00D57475">
      <w:pPr>
        <w:spacing w:before="120" w:line="276" w:lineRule="auto"/>
        <w:jc w:val="both"/>
        <w:rPr>
          <w:rFonts w:ascii="Times New Roman" w:eastAsia="Times New Roman" w:hAnsi="Times New Roman" w:cs="Times New Roman"/>
          <w:b/>
          <w:bCs/>
        </w:rPr>
      </w:pPr>
      <w:proofErr w:type="gramStart"/>
      <w:r w:rsidRPr="00D57475">
        <w:rPr>
          <w:rFonts w:ascii="Times New Roman" w:eastAsia="Times New Roman" w:hAnsi="Times New Roman" w:cs="Times New Roman"/>
          <w:b/>
          <w:bCs/>
        </w:rPr>
        <w:t>Segunda.-</w:t>
      </w:r>
      <w:proofErr w:type="gramEnd"/>
    </w:p>
    <w:p w14:paraId="5C8134A1"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i/>
          <w:iCs/>
        </w:rPr>
        <w:t>En el plazo de sesenta días desde la vigencia de esta reforma, el Consejo Nacional de Competencias reformará las resoluciones 008-CNC-2011 y 005-CNC-2012, a fin de adecuarlas a esta reforma legal y a la actual distribución de competencias en el Gobierno central.</w:t>
      </w:r>
    </w:p>
    <w:p w14:paraId="63CCECC9" w14:textId="77777777" w:rsidR="00D57475" w:rsidRPr="00D57475" w:rsidRDefault="00D57475" w:rsidP="00D57475">
      <w:pPr>
        <w:spacing w:before="120" w:line="276" w:lineRule="auto"/>
        <w:jc w:val="both"/>
        <w:rPr>
          <w:rFonts w:ascii="Times New Roman" w:eastAsia="Times New Roman" w:hAnsi="Times New Roman" w:cs="Times New Roman"/>
          <w:b/>
          <w:bCs/>
        </w:rPr>
      </w:pPr>
      <w:proofErr w:type="gramStart"/>
      <w:r w:rsidRPr="00D57475">
        <w:rPr>
          <w:rFonts w:ascii="Times New Roman" w:eastAsia="Times New Roman" w:hAnsi="Times New Roman" w:cs="Times New Roman"/>
          <w:b/>
          <w:bCs/>
        </w:rPr>
        <w:t>Tercera.-</w:t>
      </w:r>
      <w:proofErr w:type="gramEnd"/>
    </w:p>
    <w:p w14:paraId="47A4D53A"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i/>
          <w:iCs/>
        </w:rPr>
        <w:t xml:space="preserve">En el plazo de un año desde la vigencia de esta reforma, el Gobierno central emitirá todas las regulaciones necesarias para abarcar los elementos descritos en el artículo 7 de la Resolución 008-CNC-2011. Hasta entonces, se consideran regulación nacional sobre riego y drenaje a: </w:t>
      </w:r>
    </w:p>
    <w:p w14:paraId="1994F5BA" w14:textId="77777777" w:rsidR="00D57475" w:rsidRPr="00D57475" w:rsidRDefault="00D57475" w:rsidP="00D57475">
      <w:pPr>
        <w:spacing w:before="120" w:line="276" w:lineRule="auto"/>
        <w:ind w:left="720"/>
        <w:jc w:val="both"/>
        <w:rPr>
          <w:rFonts w:ascii="Times New Roman" w:eastAsia="Times New Roman" w:hAnsi="Times New Roman" w:cs="Times New Roman"/>
          <w:b/>
          <w:bCs/>
        </w:rPr>
      </w:pPr>
      <w:r w:rsidRPr="00D57475">
        <w:rPr>
          <w:rFonts w:ascii="Times New Roman" w:eastAsia="Times New Roman" w:hAnsi="Times New Roman" w:cs="Times New Roman"/>
          <w:b/>
          <w:bCs/>
        </w:rPr>
        <w:t xml:space="preserve">1. </w:t>
      </w:r>
      <w:r w:rsidRPr="00D57475">
        <w:rPr>
          <w:rFonts w:ascii="Times New Roman" w:eastAsia="Times New Roman" w:hAnsi="Times New Roman" w:cs="Times New Roman"/>
          <w:i/>
          <w:iCs/>
        </w:rPr>
        <w:t xml:space="preserve">Resolución </w:t>
      </w:r>
      <w:proofErr w:type="spellStart"/>
      <w:r w:rsidRPr="00D57475">
        <w:rPr>
          <w:rFonts w:ascii="Times New Roman" w:eastAsia="Times New Roman" w:hAnsi="Times New Roman" w:cs="Times New Roman"/>
          <w:i/>
          <w:iCs/>
        </w:rPr>
        <w:t>Nº</w:t>
      </w:r>
      <w:proofErr w:type="spellEnd"/>
      <w:r w:rsidRPr="00D57475">
        <w:rPr>
          <w:rFonts w:ascii="Times New Roman" w:eastAsia="Times New Roman" w:hAnsi="Times New Roman" w:cs="Times New Roman"/>
          <w:i/>
          <w:iCs/>
        </w:rPr>
        <w:t xml:space="preserve"> 9 de la Agencia de Regulación y Control del Agua, que contiene la Normativa técnica para la determinación del estado situacional de la prestación del servicio público de riego y la gestión de los planes de mejora, publicada en el Registro Oficial 474 de 24 de abril de 2019. </w:t>
      </w:r>
    </w:p>
    <w:p w14:paraId="02A3AA61"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b/>
          <w:bCs/>
        </w:rPr>
        <w:t xml:space="preserve">2. </w:t>
      </w:r>
      <w:r w:rsidRPr="00D57475">
        <w:rPr>
          <w:rFonts w:ascii="Times New Roman" w:eastAsia="Times New Roman" w:hAnsi="Times New Roman" w:cs="Times New Roman"/>
          <w:i/>
          <w:iCs/>
        </w:rPr>
        <w:t>Las siguientes normas técnicas ecuatorianas relacionadas con riego:</w:t>
      </w:r>
    </w:p>
    <w:p w14:paraId="5BCBFB7E"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b/>
          <w:bCs/>
        </w:rPr>
        <w:t xml:space="preserve">3. </w:t>
      </w:r>
      <w:r w:rsidRPr="00D57475">
        <w:rPr>
          <w:rFonts w:ascii="Times New Roman" w:eastAsia="Times New Roman" w:hAnsi="Times New Roman" w:cs="Times New Roman"/>
          <w:i/>
          <w:iCs/>
        </w:rPr>
        <w:t>Las siguientes normas técnicas ecuatorianas relacionadas con drenaje:</w:t>
      </w:r>
    </w:p>
    <w:p w14:paraId="3B7BE9B7" w14:textId="77777777" w:rsidR="00D57475" w:rsidRPr="00D57475" w:rsidRDefault="00D57475" w:rsidP="00D57475">
      <w:pPr>
        <w:spacing w:before="120" w:line="276" w:lineRule="auto"/>
        <w:jc w:val="both"/>
        <w:rPr>
          <w:rFonts w:ascii="Times New Roman" w:eastAsia="Times New Roman" w:hAnsi="Times New Roman" w:cs="Times New Roman"/>
          <w:b/>
          <w:bCs/>
        </w:rPr>
      </w:pPr>
      <w:proofErr w:type="gramStart"/>
      <w:r w:rsidRPr="00D57475">
        <w:rPr>
          <w:rFonts w:ascii="Times New Roman" w:eastAsia="Times New Roman" w:hAnsi="Times New Roman" w:cs="Times New Roman"/>
          <w:b/>
          <w:bCs/>
        </w:rPr>
        <w:t>Cuarta.-</w:t>
      </w:r>
      <w:proofErr w:type="gramEnd"/>
    </w:p>
    <w:p w14:paraId="1BC1F344" w14:textId="77777777" w:rsidR="00D57475" w:rsidRPr="00D57475" w:rsidRDefault="00D57475" w:rsidP="00D57475">
      <w:pPr>
        <w:spacing w:before="120" w:line="276" w:lineRule="auto"/>
        <w:ind w:left="720"/>
        <w:jc w:val="both"/>
        <w:rPr>
          <w:rFonts w:ascii="Times New Roman" w:eastAsia="Times New Roman" w:hAnsi="Times New Roman" w:cs="Times New Roman"/>
        </w:rPr>
      </w:pPr>
      <w:r w:rsidRPr="00D57475">
        <w:rPr>
          <w:rFonts w:ascii="Times New Roman" w:eastAsia="Times New Roman" w:hAnsi="Times New Roman" w:cs="Times New Roman"/>
          <w:i/>
          <w:iCs/>
        </w:rPr>
        <w:t xml:space="preserve">En el plazo de un año desde la vigencia de esta reforma, el Gobierno central emitirá todas las regulaciones necesarias para abarcar los elementos descritos en el artículo 8 de la Resolución 005-CNC-2012. Hasta entonces, se consideran regulación nacional sobre dragado a: </w:t>
      </w:r>
    </w:p>
    <w:p w14:paraId="7A9E2CC0" w14:textId="77777777" w:rsidR="00D57475" w:rsidRPr="00D57475" w:rsidRDefault="00D57475" w:rsidP="00D57475">
      <w:pPr>
        <w:spacing w:before="120" w:line="276" w:lineRule="auto"/>
        <w:ind w:left="720"/>
        <w:jc w:val="both"/>
        <w:rPr>
          <w:rFonts w:ascii="Times New Roman" w:eastAsia="Times New Roman" w:hAnsi="Times New Roman" w:cs="Times New Roman"/>
          <w:b/>
          <w:bCs/>
        </w:rPr>
      </w:pPr>
      <w:r w:rsidRPr="00D57475">
        <w:rPr>
          <w:rFonts w:ascii="Times New Roman" w:eastAsia="Times New Roman" w:hAnsi="Times New Roman" w:cs="Times New Roman"/>
          <w:b/>
          <w:bCs/>
        </w:rPr>
        <w:t xml:space="preserve">1. </w:t>
      </w:r>
      <w:r w:rsidRPr="00D57475">
        <w:rPr>
          <w:rFonts w:ascii="Times New Roman" w:eastAsia="Times New Roman" w:hAnsi="Times New Roman" w:cs="Times New Roman"/>
          <w:i/>
          <w:iCs/>
        </w:rPr>
        <w:t xml:space="preserve">Acuerdo Ministerial </w:t>
      </w:r>
      <w:proofErr w:type="spellStart"/>
      <w:r w:rsidRPr="00D57475">
        <w:rPr>
          <w:rFonts w:ascii="Times New Roman" w:eastAsia="Times New Roman" w:hAnsi="Times New Roman" w:cs="Times New Roman"/>
          <w:i/>
          <w:iCs/>
        </w:rPr>
        <w:t>Nº</w:t>
      </w:r>
      <w:proofErr w:type="spellEnd"/>
      <w:r w:rsidRPr="00D57475">
        <w:rPr>
          <w:rFonts w:ascii="Times New Roman" w:eastAsia="Times New Roman" w:hAnsi="Times New Roman" w:cs="Times New Roman"/>
          <w:i/>
          <w:iCs/>
        </w:rPr>
        <w:t xml:space="preserve"> 1266, publicado en el Registro Oficial Edición Especial </w:t>
      </w:r>
      <w:proofErr w:type="spellStart"/>
      <w:r w:rsidRPr="00D57475">
        <w:rPr>
          <w:rFonts w:ascii="Times New Roman" w:eastAsia="Times New Roman" w:hAnsi="Times New Roman" w:cs="Times New Roman"/>
          <w:i/>
          <w:iCs/>
        </w:rPr>
        <w:t>Nº</w:t>
      </w:r>
      <w:proofErr w:type="spellEnd"/>
      <w:r w:rsidRPr="00D57475">
        <w:rPr>
          <w:rFonts w:ascii="Times New Roman" w:eastAsia="Times New Roman" w:hAnsi="Times New Roman" w:cs="Times New Roman"/>
          <w:i/>
          <w:iCs/>
        </w:rPr>
        <w:t xml:space="preserve"> 639, 19 de julio de 2016. </w:t>
      </w:r>
    </w:p>
    <w:p w14:paraId="2127B2AB" w14:textId="77777777" w:rsidR="00D57475" w:rsidRPr="00D57475" w:rsidRDefault="00D57475" w:rsidP="00D57475">
      <w:pPr>
        <w:spacing w:before="120" w:line="276" w:lineRule="auto"/>
        <w:ind w:left="720"/>
        <w:jc w:val="both"/>
        <w:rPr>
          <w:rFonts w:ascii="Times New Roman" w:eastAsia="Times New Roman" w:hAnsi="Times New Roman" w:cs="Times New Roman"/>
          <w:b/>
          <w:bCs/>
        </w:rPr>
      </w:pPr>
      <w:r w:rsidRPr="00D57475">
        <w:rPr>
          <w:rFonts w:ascii="Times New Roman" w:eastAsia="Times New Roman" w:hAnsi="Times New Roman" w:cs="Times New Roman"/>
          <w:b/>
          <w:bCs/>
        </w:rPr>
        <w:t xml:space="preserve">2. </w:t>
      </w:r>
      <w:r w:rsidRPr="00D57475">
        <w:rPr>
          <w:rFonts w:ascii="Times New Roman" w:eastAsia="Times New Roman" w:hAnsi="Times New Roman" w:cs="Times New Roman"/>
          <w:i/>
          <w:iCs/>
        </w:rPr>
        <w:t xml:space="preserve">La norma técnica ecuatoriana NTE-INEN-ISO-8384: Embarcaciones y tecnología marina, dragadoras, vocabulario (ISO 8384:2000, IDT).” </w:t>
      </w:r>
    </w:p>
    <w:p w14:paraId="0AFE19C6" w14:textId="77777777" w:rsidR="00D57475" w:rsidRPr="00D57475" w:rsidRDefault="00D57475" w:rsidP="00D57475">
      <w:pPr>
        <w:spacing w:before="120" w:line="276" w:lineRule="auto"/>
        <w:jc w:val="both"/>
        <w:rPr>
          <w:rFonts w:ascii="Times New Roman" w:hAnsi="Times New Roman" w:cs="Times New Roman"/>
        </w:rPr>
      </w:pPr>
    </w:p>
    <w:p w14:paraId="512F77A0" w14:textId="77777777" w:rsidR="00D57475" w:rsidRPr="00D57475" w:rsidRDefault="00D57475" w:rsidP="00D57475">
      <w:pPr>
        <w:pBdr>
          <w:top w:val="nil"/>
          <w:left w:val="nil"/>
          <w:bottom w:val="nil"/>
          <w:right w:val="nil"/>
          <w:between w:val="nil"/>
        </w:pBdr>
        <w:spacing w:before="120" w:line="276" w:lineRule="auto"/>
        <w:jc w:val="both"/>
        <w:rPr>
          <w:rFonts w:ascii="Times New Roman" w:eastAsia="Times New Roman" w:hAnsi="Times New Roman" w:cs="Times New Roman"/>
        </w:rPr>
      </w:pPr>
    </w:p>
    <w:p w14:paraId="250D25E5" w14:textId="77777777" w:rsidR="00D57475" w:rsidRPr="00D57475" w:rsidRDefault="00D57475" w:rsidP="00D57475">
      <w:pPr>
        <w:rPr>
          <w:rFonts w:ascii="Times New Roman" w:hAnsi="Times New Roman" w:cs="Times New Roman"/>
        </w:rPr>
      </w:pPr>
    </w:p>
    <w:p w14:paraId="047383D5" w14:textId="77777777" w:rsidR="00D57475" w:rsidRPr="00D57475" w:rsidRDefault="00D57475" w:rsidP="00D57475">
      <w:pPr>
        <w:rPr>
          <w:rFonts w:ascii="Times New Roman" w:hAnsi="Times New Roman" w:cs="Times New Roman"/>
        </w:rPr>
      </w:pPr>
    </w:p>
    <w:p w14:paraId="0FA45644" w14:textId="77777777" w:rsidR="00D57475" w:rsidRPr="00D57475" w:rsidRDefault="00D57475" w:rsidP="00926911">
      <w:pPr>
        <w:pStyle w:val="Ttulo3"/>
        <w:numPr>
          <w:ilvl w:val="0"/>
          <w:numId w:val="0"/>
        </w:numPr>
        <w:rPr>
          <w:rFonts w:cs="Times New Roman"/>
        </w:rPr>
      </w:pPr>
      <w:bookmarkStart w:id="46" w:name="_Toc123296930"/>
      <w:r w:rsidRPr="00D57475">
        <w:rPr>
          <w:rFonts w:cs="Times New Roman"/>
        </w:rPr>
        <w:lastRenderedPageBreak/>
        <w:t>Proyecto de Ley Reformatoria al COOTAD (CEM Vial)</w:t>
      </w:r>
      <w:bookmarkEnd w:id="46"/>
    </w:p>
    <w:p w14:paraId="2E8E2D0B" w14:textId="77777777" w:rsidR="00D57475" w:rsidRPr="00D57475" w:rsidRDefault="00D57475" w:rsidP="00D57475">
      <w:pPr>
        <w:rPr>
          <w:rFonts w:ascii="Times New Roman" w:hAnsi="Times New Roman" w:cs="Times New Roman"/>
        </w:rPr>
      </w:pPr>
    </w:p>
    <w:p w14:paraId="2EDD5323" w14:textId="4F91D57B" w:rsidR="00D57475" w:rsidRPr="00D57475" w:rsidRDefault="00926911" w:rsidP="00D57475">
      <w:pPr>
        <w:pStyle w:val="Bloque"/>
        <w:spacing w:line="276" w:lineRule="auto"/>
        <w:ind w:left="0" w:right="0"/>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LA </w:t>
      </w:r>
      <w:r w:rsidR="00D57475" w:rsidRPr="00D57475">
        <w:rPr>
          <w:rFonts w:ascii="Times New Roman" w:hAnsi="Times New Roman" w:cs="Times New Roman"/>
          <w:b/>
          <w:bCs/>
          <w:sz w:val="24"/>
          <w:szCs w:val="24"/>
          <w:lang w:val="es-ES"/>
        </w:rPr>
        <w:t>ASAMBLEA NACIONAL</w:t>
      </w:r>
      <w:r>
        <w:rPr>
          <w:rFonts w:ascii="Times New Roman" w:hAnsi="Times New Roman" w:cs="Times New Roman"/>
          <w:b/>
          <w:bCs/>
          <w:sz w:val="24"/>
          <w:szCs w:val="24"/>
          <w:lang w:val="es-ES"/>
        </w:rPr>
        <w:t xml:space="preserve"> DEL ECUADOR</w:t>
      </w:r>
    </w:p>
    <w:p w14:paraId="3FF8B4C2" w14:textId="77777777" w:rsidR="00D57475" w:rsidRDefault="00D57475" w:rsidP="00D57475">
      <w:pPr>
        <w:pStyle w:val="Bloque"/>
        <w:spacing w:line="276" w:lineRule="auto"/>
        <w:ind w:left="0" w:right="0"/>
        <w:jc w:val="center"/>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CONSIDERANDO</w:t>
      </w:r>
    </w:p>
    <w:p w14:paraId="724548F2" w14:textId="77777777" w:rsidR="00926911" w:rsidRPr="00D57475" w:rsidRDefault="00926911" w:rsidP="00D57475">
      <w:pPr>
        <w:pStyle w:val="Bloque"/>
        <w:spacing w:line="276" w:lineRule="auto"/>
        <w:ind w:left="0" w:right="0"/>
        <w:jc w:val="center"/>
        <w:rPr>
          <w:rFonts w:ascii="Times New Roman" w:hAnsi="Times New Roman" w:cs="Times New Roman"/>
          <w:b/>
          <w:bCs/>
          <w:sz w:val="24"/>
          <w:szCs w:val="24"/>
          <w:lang w:val="es-ES"/>
        </w:rPr>
      </w:pPr>
    </w:p>
    <w:p w14:paraId="433B4706"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de conformidad con el art. 1 de la Constitución de la República (la «</w:t>
      </w:r>
      <w:r w:rsidRPr="00D57475">
        <w:rPr>
          <w:rFonts w:ascii="Times New Roman" w:hAnsi="Times New Roman" w:cs="Times New Roman"/>
          <w:sz w:val="24"/>
          <w:szCs w:val="24"/>
          <w:u w:val="single"/>
          <w:lang w:val="es-ES"/>
        </w:rPr>
        <w:t>Constitución</w:t>
      </w:r>
      <w:r w:rsidRPr="00D57475">
        <w:rPr>
          <w:rFonts w:ascii="Times New Roman" w:hAnsi="Times New Roman" w:cs="Times New Roman"/>
          <w:sz w:val="24"/>
          <w:szCs w:val="24"/>
          <w:lang w:val="es-ES"/>
        </w:rPr>
        <w:t xml:space="preserve">»), el Ecuador es un Estado constitucional de derechos y justicia, social, democrático, soberano, independiente, unitario, intercultural, plurinacional y laico, que se organiza en forma de república y se gobierna de manera descentralizada; </w:t>
      </w:r>
    </w:p>
    <w:p w14:paraId="63742305"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54209522"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el art. 3, núm. 6 de la Constitución, establece como deber primordial del Estado, promover el desarrollo equitativo y solidario de todo el territorio, mediante el fortalecimiento del proceso de autonomías y descentralización; </w:t>
      </w:r>
    </w:p>
    <w:p w14:paraId="66851B2C"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01061F09"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según el art. 238 de la Constitución, los gobiernos autónomos descentralizados, como el provincial, gozan de autonomía política, administrativa y financiera. </w:t>
      </w:r>
    </w:p>
    <w:p w14:paraId="40E03D5F"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62E13C0A"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según el art. 263, núm. 2, de la Constitución, los gobiernos autónomos descentralizados provinciales tienen la competencia exclusiva de planificar, construir y mantener el sistema vial del ámbito provincial, que no incluya a zonas urbanas; </w:t>
      </w:r>
    </w:p>
    <w:p w14:paraId="775FC79C"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75C92612"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el régimen tributario, de acuerdo con el art. 300 de la Constitución, se rige por los principios de generalidad, progresividad, eficiencia, simplicidad administrativa, irretroactividad, equidad, transparencia y suficiencia recaudatoria, </w:t>
      </w:r>
    </w:p>
    <w:p w14:paraId="43B5A54C"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40C66F0F"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el art. 301 de la Constitución determina que únicamente por iniciativa de la función ejecutiva y mediante ley sancionada por la Asamblea Nacional se puede establecer, modificar, exonerar o extinguir impuestos. En adición, indica que únicamente por acto normativo del órgano competente se puede establecer, modificar, exonerar o extinguir tasas y contribuciones, las que se crean y regulan de acuerdo con la ley; </w:t>
      </w:r>
    </w:p>
    <w:p w14:paraId="179F694B"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lastRenderedPageBreak/>
        <w:t>Que,</w:t>
      </w:r>
      <w:r w:rsidRPr="00D57475">
        <w:rPr>
          <w:rFonts w:ascii="Times New Roman" w:hAnsi="Times New Roman" w:cs="Times New Roman"/>
          <w:sz w:val="24"/>
          <w:szCs w:val="24"/>
          <w:lang w:val="es-ES"/>
        </w:rPr>
        <w:t xml:space="preserve"> el Código Orgánico Tributario, en su art. 1, indica que el “tributo”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p>
    <w:p w14:paraId="6DA5C9B6"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599729BA"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Que, </w:t>
      </w:r>
      <w:r w:rsidRPr="00D57475">
        <w:rPr>
          <w:rFonts w:ascii="Times New Roman" w:hAnsi="Times New Roman" w:cs="Times New Roman"/>
          <w:sz w:val="24"/>
          <w:szCs w:val="24"/>
          <w:lang w:val="es-ES"/>
        </w:rPr>
        <w:t>el Código Orgánico de Organización Territorial, Autonomía y Descentralización («</w:t>
      </w:r>
      <w:r w:rsidRPr="00D57475">
        <w:rPr>
          <w:rFonts w:ascii="Times New Roman" w:hAnsi="Times New Roman" w:cs="Times New Roman"/>
          <w:sz w:val="24"/>
          <w:szCs w:val="24"/>
          <w:u w:val="single"/>
          <w:lang w:val="es-ES"/>
        </w:rPr>
        <w:t>COOTAD</w:t>
      </w:r>
      <w:r w:rsidRPr="00D57475">
        <w:rPr>
          <w:rFonts w:ascii="Times New Roman" w:hAnsi="Times New Roman" w:cs="Times New Roman"/>
          <w:sz w:val="24"/>
          <w:szCs w:val="24"/>
          <w:lang w:val="es-ES"/>
        </w:rPr>
        <w:t>») en su Título IX establece las “disposiciones especiales de los gobiernos metropolitanos y municipales” y, en los Capítulos IV V de aquel Título, regula las tasas y contribuciones especiales de mejoras de los gobiernos municipales y metropolitanos</w:t>
      </w:r>
    </w:p>
    <w:p w14:paraId="64725432"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1728A95A"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Que,</w:t>
      </w:r>
      <w:r w:rsidRPr="00D57475">
        <w:rPr>
          <w:rFonts w:ascii="Times New Roman" w:hAnsi="Times New Roman" w:cs="Times New Roman"/>
          <w:sz w:val="24"/>
          <w:szCs w:val="24"/>
          <w:lang w:val="es-ES"/>
        </w:rPr>
        <w:t xml:space="preserve"> desde el art. 569 al art. 593, el COOTAD regula aspectos vinculados con la esencia de las contribuciones especiales. En particular, en el art. 572 prevé una contribución especial por el mejoramiento vial; </w:t>
      </w:r>
    </w:p>
    <w:p w14:paraId="6A626BD9"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0DF5A0F0"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Que, </w:t>
      </w:r>
      <w:r w:rsidRPr="00D57475">
        <w:rPr>
          <w:rFonts w:ascii="Times New Roman" w:hAnsi="Times New Roman" w:cs="Times New Roman"/>
          <w:sz w:val="24"/>
          <w:szCs w:val="24"/>
          <w:lang w:val="es-ES"/>
        </w:rPr>
        <w:t xml:space="preserve">los gobiernos autónomos descentralizados provinciales por las atribuciones y funciones previstas en los arts. 263 de la Constitución, 41 y 47 del COOTAD, pueden crear, modificar o extinguir tasas por los servicios que prestan y contribuciones especiales por las obras que ejecutan; </w:t>
      </w:r>
    </w:p>
    <w:p w14:paraId="4107E58A"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232BD65B" w14:textId="77777777" w:rsid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Que, </w:t>
      </w:r>
      <w:r w:rsidRPr="00D57475">
        <w:rPr>
          <w:rFonts w:ascii="Times New Roman" w:hAnsi="Times New Roman" w:cs="Times New Roman"/>
          <w:sz w:val="24"/>
          <w:szCs w:val="24"/>
          <w:lang w:val="es-ES"/>
        </w:rPr>
        <w:t xml:space="preserve">sería conveniente que exista una regulación particular para el establecimiento, modificación y extinción de tasas y contribuciones especiales de los gobiernos autónomos descentralizados provinciales, como existe actualmente para los gobiernos autónomos descentralizados municipales y metropolitanos. </w:t>
      </w:r>
    </w:p>
    <w:p w14:paraId="2B9D3D70"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63CB1941" w14:textId="77777777" w:rsid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 xml:space="preserve">En ejercicio de la atribución prevista en el art. 120 de la Constitución, expide la siguiente: </w:t>
      </w:r>
    </w:p>
    <w:p w14:paraId="2E7DD91C" w14:textId="77777777" w:rsidR="00926911" w:rsidRDefault="00926911" w:rsidP="00D57475">
      <w:pPr>
        <w:pStyle w:val="Bloque"/>
        <w:spacing w:line="276" w:lineRule="auto"/>
        <w:ind w:left="0" w:right="0"/>
        <w:rPr>
          <w:rFonts w:ascii="Times New Roman" w:hAnsi="Times New Roman" w:cs="Times New Roman"/>
          <w:b/>
          <w:bCs/>
          <w:sz w:val="24"/>
          <w:szCs w:val="24"/>
          <w:lang w:val="es-ES"/>
        </w:rPr>
      </w:pPr>
    </w:p>
    <w:p w14:paraId="4747B611" w14:textId="77777777" w:rsidR="00926911" w:rsidRDefault="00926911" w:rsidP="00D57475">
      <w:pPr>
        <w:pStyle w:val="Bloque"/>
        <w:spacing w:line="276" w:lineRule="auto"/>
        <w:ind w:left="0" w:right="0"/>
        <w:rPr>
          <w:rFonts w:ascii="Times New Roman" w:hAnsi="Times New Roman" w:cs="Times New Roman"/>
          <w:b/>
          <w:bCs/>
          <w:sz w:val="24"/>
          <w:szCs w:val="24"/>
          <w:lang w:val="es-ES"/>
        </w:rPr>
      </w:pPr>
    </w:p>
    <w:p w14:paraId="6A9DC8D2" w14:textId="77777777" w:rsidR="00926911" w:rsidRPr="00D57475" w:rsidRDefault="00926911" w:rsidP="00D57475">
      <w:pPr>
        <w:pStyle w:val="Bloque"/>
        <w:spacing w:line="276" w:lineRule="auto"/>
        <w:ind w:left="0" w:right="0"/>
        <w:rPr>
          <w:rFonts w:ascii="Times New Roman" w:hAnsi="Times New Roman" w:cs="Times New Roman"/>
          <w:sz w:val="24"/>
          <w:szCs w:val="24"/>
          <w:lang w:val="es-ES"/>
        </w:rPr>
      </w:pPr>
    </w:p>
    <w:p w14:paraId="0194B54C" w14:textId="77777777" w:rsidR="00D57475" w:rsidRDefault="00D57475" w:rsidP="00D57475">
      <w:pPr>
        <w:pStyle w:val="Bloque"/>
        <w:spacing w:line="276" w:lineRule="auto"/>
        <w:ind w:left="0" w:right="0"/>
        <w:jc w:val="center"/>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lastRenderedPageBreak/>
        <w:t xml:space="preserve">LEY ORGÁNICA REFORMATORIA AL CÓDIGO ORGÁNICO DE ORGANIZACIÓN TERRITORIAL, AUTONOMÍA Y DESCENTRALIZACIÓN </w:t>
      </w:r>
    </w:p>
    <w:p w14:paraId="7EE37078" w14:textId="77777777" w:rsidR="00926911" w:rsidRPr="00D57475" w:rsidRDefault="00926911" w:rsidP="00D57475">
      <w:pPr>
        <w:pStyle w:val="Bloque"/>
        <w:spacing w:line="276" w:lineRule="auto"/>
        <w:ind w:left="0" w:right="0"/>
        <w:jc w:val="center"/>
        <w:rPr>
          <w:rFonts w:ascii="Times New Roman" w:hAnsi="Times New Roman" w:cs="Times New Roman"/>
          <w:b/>
          <w:bCs/>
          <w:sz w:val="24"/>
          <w:szCs w:val="24"/>
          <w:lang w:val="es-ES"/>
        </w:rPr>
      </w:pPr>
    </w:p>
    <w:p w14:paraId="40FBE08D"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1.- </w:t>
      </w:r>
      <w:r w:rsidRPr="00D57475">
        <w:rPr>
          <w:rFonts w:ascii="Times New Roman" w:hAnsi="Times New Roman" w:cs="Times New Roman"/>
          <w:sz w:val="24"/>
          <w:szCs w:val="24"/>
          <w:lang w:val="es-ES"/>
        </w:rPr>
        <w:t xml:space="preserve">Elimínese el art. 184 del Código Orgánico de Organización Territorial, Autonomía y Descentralización.  </w:t>
      </w:r>
    </w:p>
    <w:p w14:paraId="19E2670E" w14:textId="42D4E18F"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w:t>
      </w:r>
      <w:proofErr w:type="gramStart"/>
      <w:r w:rsidR="008D77A8">
        <w:rPr>
          <w:rFonts w:ascii="Times New Roman" w:hAnsi="Times New Roman" w:cs="Times New Roman"/>
          <w:b/>
          <w:bCs/>
          <w:sz w:val="24"/>
          <w:szCs w:val="24"/>
          <w:lang w:val="es-ES"/>
        </w:rPr>
        <w:t>2</w:t>
      </w:r>
      <w:r w:rsidRPr="00D57475">
        <w:rPr>
          <w:rFonts w:ascii="Times New Roman" w:hAnsi="Times New Roman" w:cs="Times New Roman"/>
          <w:b/>
          <w:bCs/>
          <w:sz w:val="24"/>
          <w:szCs w:val="24"/>
          <w:lang w:val="es-ES"/>
        </w:rPr>
        <w:t xml:space="preserve"> .</w:t>
      </w:r>
      <w:proofErr w:type="gramEnd"/>
      <w:r w:rsidRPr="00D57475">
        <w:rPr>
          <w:rFonts w:ascii="Times New Roman" w:hAnsi="Times New Roman" w:cs="Times New Roman"/>
          <w:b/>
          <w:bCs/>
          <w:sz w:val="24"/>
          <w:szCs w:val="24"/>
          <w:lang w:val="es-ES"/>
        </w:rPr>
        <w:t>-</w:t>
      </w:r>
      <w:r w:rsidRPr="00D57475">
        <w:rPr>
          <w:rFonts w:ascii="Times New Roman" w:hAnsi="Times New Roman" w:cs="Times New Roman"/>
          <w:sz w:val="24"/>
          <w:szCs w:val="24"/>
          <w:lang w:val="es-ES"/>
        </w:rPr>
        <w:t xml:space="preserve"> Inclúyase el siguiente Título a continuación del art. 598 del Código Orgánico de Organización Territorial, Autonomía y Descentralización: </w:t>
      </w:r>
    </w:p>
    <w:p w14:paraId="1D983D42" w14:textId="77777777" w:rsidR="00D57475" w:rsidRP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 xml:space="preserve">“Título XII </w:t>
      </w:r>
    </w:p>
    <w:p w14:paraId="7472D727" w14:textId="77777777" w:rsidR="00D57475" w:rsidRP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Disposiciones especiales para los tributos de los gobiernos autónomos descentralizados provinciales</w:t>
      </w:r>
    </w:p>
    <w:p w14:paraId="74B4ECA0" w14:textId="77777777" w:rsidR="00D57475" w:rsidRP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 xml:space="preserve">Capítulo I </w:t>
      </w:r>
    </w:p>
    <w:p w14:paraId="5BE6A0E5" w14:textId="77777777" w:rsidR="00D57475" w:rsidRP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De las tasas de los gobiernos autónomos descentralizados provinciales</w:t>
      </w:r>
    </w:p>
    <w:p w14:paraId="39B76B40"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599.- Objeto y </w:t>
      </w:r>
      <w:proofErr w:type="gramStart"/>
      <w:r w:rsidRPr="00D57475">
        <w:rPr>
          <w:rFonts w:ascii="Times New Roman" w:hAnsi="Times New Roman" w:cs="Times New Roman"/>
          <w:b/>
          <w:bCs/>
          <w:sz w:val="24"/>
          <w:szCs w:val="24"/>
          <w:lang w:val="es-ES"/>
        </w:rPr>
        <w:t>determinación.-</w:t>
      </w:r>
      <w:proofErr w:type="gramEnd"/>
      <w:r w:rsidRPr="00D57475">
        <w:rPr>
          <w:rFonts w:ascii="Times New Roman" w:hAnsi="Times New Roman" w:cs="Times New Roman"/>
          <w:sz w:val="24"/>
          <w:szCs w:val="24"/>
          <w:lang w:val="es-ES"/>
        </w:rPr>
        <w:t xml:space="preserve"> Los gobiernos autónomos descentralizados provinciales podrán aplicar las tasas retributivas de servicios públicos que presten. El monto que se establezca por las tasas guardará relación con el costo de producción de dichos servicios. A tal efecto, se entenderá por costo de producción el que resulte de aplicar reglas contables de general aceptación, debiendo desecharse la inclusión de gastos generales de la administración provincial que no tengan relación directa y evidente con la prestación del servicio. </w:t>
      </w:r>
    </w:p>
    <w:p w14:paraId="4C9A4BF8"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sz w:val="24"/>
          <w:szCs w:val="24"/>
          <w:lang w:val="es-ES"/>
        </w:rPr>
        <w:t>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provincia. El monto de las tasas autorizadas por este Código se fijará por ordenanza.</w:t>
      </w:r>
    </w:p>
    <w:p w14:paraId="56613B24"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600.- Obligación de </w:t>
      </w:r>
      <w:proofErr w:type="gramStart"/>
      <w:r w:rsidRPr="00D57475">
        <w:rPr>
          <w:rFonts w:ascii="Times New Roman" w:hAnsi="Times New Roman" w:cs="Times New Roman"/>
          <w:b/>
          <w:bCs/>
          <w:sz w:val="24"/>
          <w:szCs w:val="24"/>
          <w:lang w:val="es-ES"/>
        </w:rPr>
        <w:t>pago.-</w:t>
      </w:r>
      <w:proofErr w:type="gramEnd"/>
      <w:r w:rsidRPr="00D57475">
        <w:rPr>
          <w:rFonts w:ascii="Times New Roman" w:hAnsi="Times New Roman" w:cs="Times New Roman"/>
          <w:sz w:val="24"/>
          <w:szCs w:val="24"/>
          <w:lang w:val="es-ES"/>
        </w:rPr>
        <w:t xml:space="preserve"> El Estado y más entidades del sector público pagarán las tasas que se establezcan por la prestación de los servicios públicos que otorguen las municipalidades, distritos metropolitanos y sus empresas. Para este objeto, harán constar la correspondiente partida en sus respectivos presupuestos.</w:t>
      </w:r>
    </w:p>
    <w:p w14:paraId="6B26A9F2" w14:textId="77777777" w:rsidR="00D57475" w:rsidRP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 xml:space="preserve">Capítulo II </w:t>
      </w:r>
    </w:p>
    <w:p w14:paraId="455288E6" w14:textId="77777777" w:rsidR="00D57475" w:rsidRPr="00D57475" w:rsidRDefault="00D57475" w:rsidP="00D57475">
      <w:pPr>
        <w:pStyle w:val="Bloque"/>
        <w:spacing w:line="276" w:lineRule="auto"/>
        <w:ind w:left="0" w:right="0"/>
        <w:rPr>
          <w:rFonts w:ascii="Times New Roman" w:hAnsi="Times New Roman" w:cs="Times New Roman"/>
          <w:b/>
          <w:bCs/>
          <w:sz w:val="24"/>
          <w:szCs w:val="24"/>
          <w:lang w:val="es-ES"/>
        </w:rPr>
      </w:pPr>
      <w:r w:rsidRPr="00D57475">
        <w:rPr>
          <w:rFonts w:ascii="Times New Roman" w:hAnsi="Times New Roman" w:cs="Times New Roman"/>
          <w:b/>
          <w:bCs/>
          <w:sz w:val="24"/>
          <w:szCs w:val="24"/>
          <w:lang w:val="es-ES"/>
        </w:rPr>
        <w:t>De las contribuciones especiales de mejora de los gobiernos autónomos descentralizados provinciales</w:t>
      </w:r>
    </w:p>
    <w:p w14:paraId="0A5AAD42"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lastRenderedPageBreak/>
        <w:t xml:space="preserve">Art. 601.- </w:t>
      </w:r>
      <w:proofErr w:type="gramStart"/>
      <w:r w:rsidRPr="00D57475">
        <w:rPr>
          <w:rFonts w:ascii="Times New Roman" w:hAnsi="Times New Roman" w:cs="Times New Roman"/>
          <w:b/>
          <w:bCs/>
          <w:sz w:val="24"/>
          <w:szCs w:val="24"/>
          <w:lang w:val="es-ES"/>
        </w:rPr>
        <w:t>Objeto.-</w:t>
      </w:r>
      <w:proofErr w:type="gramEnd"/>
      <w:r w:rsidRPr="00D57475">
        <w:rPr>
          <w:rFonts w:ascii="Times New Roman" w:hAnsi="Times New Roman" w:cs="Times New Roman"/>
          <w:sz w:val="24"/>
          <w:szCs w:val="24"/>
          <w:lang w:val="es-ES"/>
        </w:rPr>
        <w:t xml:space="preserve"> El objeto de la contribución especial de mejoras es el beneficio real o presuntivo proporcionado a los propietarios de bienes u otros determinados en las leyes u acto de creación, por la construcción o realización de obra pública provincial. </w:t>
      </w:r>
    </w:p>
    <w:p w14:paraId="53B57E50"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sz w:val="24"/>
          <w:szCs w:val="24"/>
          <w:lang w:val="es-ES"/>
        </w:rPr>
        <w:t>Los consejos provinciales pueden, cuando así lo determinen técnicamente establecer, modificar o extinguir contribuciones especiales de mejora por la construcción o realización de obra pública provincial</w:t>
      </w:r>
    </w:p>
    <w:p w14:paraId="74BBABE2"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602.- </w:t>
      </w:r>
      <w:proofErr w:type="gramStart"/>
      <w:r w:rsidRPr="00D57475">
        <w:rPr>
          <w:rFonts w:ascii="Times New Roman" w:hAnsi="Times New Roman" w:cs="Times New Roman"/>
          <w:b/>
          <w:bCs/>
          <w:sz w:val="24"/>
          <w:szCs w:val="24"/>
          <w:lang w:val="es-ES"/>
        </w:rPr>
        <w:t>Determinaciones.-</w:t>
      </w:r>
      <w:proofErr w:type="gramEnd"/>
      <w:r w:rsidRPr="00D57475">
        <w:rPr>
          <w:rFonts w:ascii="Times New Roman" w:hAnsi="Times New Roman" w:cs="Times New Roman"/>
          <w:sz w:val="24"/>
          <w:szCs w:val="24"/>
          <w:lang w:val="es-ES"/>
        </w:rPr>
        <w:t xml:space="preserve"> La determinación de las contribuciones especiales de mejoras se realizará de acuerdo a las previsiones específicas de la ordenanza provincial que la regule, pudiéndose cobrar junto con otros tributos. </w:t>
      </w:r>
    </w:p>
    <w:p w14:paraId="5EBE01B9"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603.- Obras atribuibles a las contribuciones especiales de </w:t>
      </w:r>
      <w:proofErr w:type="gramStart"/>
      <w:r w:rsidRPr="00D57475">
        <w:rPr>
          <w:rFonts w:ascii="Times New Roman" w:hAnsi="Times New Roman" w:cs="Times New Roman"/>
          <w:b/>
          <w:bCs/>
          <w:sz w:val="24"/>
          <w:szCs w:val="24"/>
          <w:lang w:val="es-ES"/>
        </w:rPr>
        <w:t>mejoras.-</w:t>
      </w:r>
      <w:proofErr w:type="gramEnd"/>
      <w:r w:rsidRPr="00D57475">
        <w:rPr>
          <w:rFonts w:ascii="Times New Roman" w:hAnsi="Times New Roman" w:cs="Times New Roman"/>
          <w:sz w:val="24"/>
          <w:szCs w:val="24"/>
          <w:lang w:val="es-ES"/>
        </w:rPr>
        <w:t xml:space="preserve"> Las obras que generarían contribuciones especiales de mejoras son todas aquellas que sean fruto de las atribuciones y funciones previstas en la Constitución y leyes aplicables de los gobiernos autónomos descentralizados provinciales. </w:t>
      </w:r>
    </w:p>
    <w:p w14:paraId="3A550387"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604.- Contribución especial por desarrollo y mejoramiento en la </w:t>
      </w:r>
      <w:proofErr w:type="gramStart"/>
      <w:r w:rsidRPr="00D57475">
        <w:rPr>
          <w:rFonts w:ascii="Times New Roman" w:hAnsi="Times New Roman" w:cs="Times New Roman"/>
          <w:b/>
          <w:bCs/>
          <w:sz w:val="24"/>
          <w:szCs w:val="24"/>
          <w:lang w:val="es-ES"/>
        </w:rPr>
        <w:t>vialidad.-</w:t>
      </w:r>
      <w:proofErr w:type="gramEnd"/>
      <w:r w:rsidRPr="00D57475">
        <w:rPr>
          <w:rFonts w:ascii="Times New Roman" w:hAnsi="Times New Roman" w:cs="Times New Roman"/>
          <w:b/>
          <w:bCs/>
          <w:sz w:val="24"/>
          <w:szCs w:val="24"/>
          <w:lang w:val="es-ES"/>
        </w:rPr>
        <w:t xml:space="preserve"> </w:t>
      </w:r>
      <w:r w:rsidRPr="00D57475">
        <w:rPr>
          <w:rFonts w:ascii="Times New Roman" w:hAnsi="Times New Roman" w:cs="Times New Roman"/>
          <w:sz w:val="24"/>
          <w:szCs w:val="24"/>
          <w:lang w:val="es-ES"/>
        </w:rPr>
        <w:t xml:space="preserve">El desarrollo y mejoramiento vial de competencia de los gobiernos autónomos descentralizados genera la contribución especial por desarrollo y mantenimiento vial. Los sujetos pasivos, </w:t>
      </w:r>
      <w:proofErr w:type="gramStart"/>
      <w:r w:rsidRPr="00D57475">
        <w:rPr>
          <w:rFonts w:ascii="Times New Roman" w:hAnsi="Times New Roman" w:cs="Times New Roman"/>
          <w:sz w:val="24"/>
          <w:szCs w:val="24"/>
          <w:lang w:val="es-ES"/>
        </w:rPr>
        <w:t>de acuerdo al</w:t>
      </w:r>
      <w:proofErr w:type="gramEnd"/>
      <w:r w:rsidRPr="00D57475">
        <w:rPr>
          <w:rFonts w:ascii="Times New Roman" w:hAnsi="Times New Roman" w:cs="Times New Roman"/>
          <w:sz w:val="24"/>
          <w:szCs w:val="24"/>
          <w:lang w:val="es-ES"/>
        </w:rPr>
        <w:t xml:space="preserve"> objeto de las contribuciones especiales serán los propietarios de los bienes inmuebles beneficiados por la obra. </w:t>
      </w:r>
    </w:p>
    <w:p w14:paraId="6A752C67"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605.- Sujeto </w:t>
      </w:r>
      <w:proofErr w:type="gramStart"/>
      <w:r w:rsidRPr="00D57475">
        <w:rPr>
          <w:rFonts w:ascii="Times New Roman" w:hAnsi="Times New Roman" w:cs="Times New Roman"/>
          <w:b/>
          <w:bCs/>
          <w:sz w:val="24"/>
          <w:szCs w:val="24"/>
          <w:lang w:val="es-ES"/>
        </w:rPr>
        <w:t>activo.-</w:t>
      </w:r>
      <w:proofErr w:type="gramEnd"/>
      <w:r w:rsidRPr="00D57475">
        <w:rPr>
          <w:rFonts w:ascii="Times New Roman" w:hAnsi="Times New Roman" w:cs="Times New Roman"/>
          <w:sz w:val="24"/>
          <w:szCs w:val="24"/>
          <w:lang w:val="es-ES"/>
        </w:rPr>
        <w:t xml:space="preserve"> El sujeto activo de la contribución especial por desarrollo y mantenimiento en la vialidad es el gobierno autónomo descentralizado provincial en cuya jurisdicción se ejecuta la obra, sin perjuicio de lo dispuesto en este Código.</w:t>
      </w:r>
    </w:p>
    <w:p w14:paraId="2C356DDF"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sz w:val="24"/>
          <w:szCs w:val="24"/>
          <w:lang w:val="es-ES"/>
        </w:rPr>
        <w:t xml:space="preserve">El tributo será recaudado junto al impuesto predial. Los gobiernos autónomos descentralizados municipales o metropolitanos que existan dentro de la provincia tienen el deber de </w:t>
      </w:r>
      <w:proofErr w:type="gramStart"/>
      <w:r w:rsidRPr="00D57475">
        <w:rPr>
          <w:rFonts w:ascii="Times New Roman" w:hAnsi="Times New Roman" w:cs="Times New Roman"/>
          <w:sz w:val="24"/>
          <w:szCs w:val="24"/>
          <w:lang w:val="es-ES"/>
        </w:rPr>
        <w:t>colaboración mutua</w:t>
      </w:r>
      <w:proofErr w:type="gramEnd"/>
      <w:r w:rsidRPr="00D57475">
        <w:rPr>
          <w:rFonts w:ascii="Times New Roman" w:hAnsi="Times New Roman" w:cs="Times New Roman"/>
          <w:sz w:val="24"/>
          <w:szCs w:val="24"/>
          <w:lang w:val="es-ES"/>
        </w:rPr>
        <w:t xml:space="preserve">. En esa medida, prestarán las facilidades necesarias para determinar todos los sujetos pasivos de </w:t>
      </w:r>
      <w:proofErr w:type="gramStart"/>
      <w:r w:rsidRPr="00D57475">
        <w:rPr>
          <w:rFonts w:ascii="Times New Roman" w:hAnsi="Times New Roman" w:cs="Times New Roman"/>
          <w:sz w:val="24"/>
          <w:szCs w:val="24"/>
          <w:lang w:val="es-ES"/>
        </w:rPr>
        <w:t>ésta</w:t>
      </w:r>
      <w:proofErr w:type="gramEnd"/>
      <w:r w:rsidRPr="00D57475">
        <w:rPr>
          <w:rFonts w:ascii="Times New Roman" w:hAnsi="Times New Roman" w:cs="Times New Roman"/>
          <w:sz w:val="24"/>
          <w:szCs w:val="24"/>
          <w:lang w:val="es-ES"/>
        </w:rPr>
        <w:t xml:space="preserve"> contribución. </w:t>
      </w:r>
    </w:p>
    <w:p w14:paraId="18C4C08E"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t xml:space="preserve">Art. 606.- Base del </w:t>
      </w:r>
      <w:proofErr w:type="gramStart"/>
      <w:r w:rsidRPr="00D57475">
        <w:rPr>
          <w:rFonts w:ascii="Times New Roman" w:hAnsi="Times New Roman" w:cs="Times New Roman"/>
          <w:b/>
          <w:bCs/>
          <w:sz w:val="24"/>
          <w:szCs w:val="24"/>
          <w:lang w:val="es-ES"/>
        </w:rPr>
        <w:t>tributo</w:t>
      </w:r>
      <w:r w:rsidRPr="00D57475">
        <w:rPr>
          <w:rFonts w:ascii="Times New Roman" w:hAnsi="Times New Roman" w:cs="Times New Roman"/>
          <w:sz w:val="24"/>
          <w:szCs w:val="24"/>
          <w:lang w:val="es-ES"/>
        </w:rPr>
        <w:t>.-</w:t>
      </w:r>
      <w:proofErr w:type="gramEnd"/>
      <w:r w:rsidRPr="00D57475">
        <w:rPr>
          <w:rFonts w:ascii="Times New Roman" w:hAnsi="Times New Roman" w:cs="Times New Roman"/>
          <w:sz w:val="24"/>
          <w:szCs w:val="24"/>
          <w:lang w:val="es-ES"/>
        </w:rPr>
        <w:t xml:space="preserve"> La base de este tributo será el costo de la obra vial respectiva, prorrateado entre los predios beneficiados, en la forma y proporción que se establezca en las respectivas ordenanzas provinciales.</w:t>
      </w:r>
    </w:p>
    <w:p w14:paraId="4F1BD86F" w14:textId="77777777" w:rsidR="00D57475"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sz w:val="24"/>
          <w:szCs w:val="24"/>
          <w:lang w:val="es-ES"/>
        </w:rPr>
        <w:t xml:space="preserve">Los gobiernos autónomos descentralizados municipales o metropolitanos que existan dentro de la provincia tienen el deber de </w:t>
      </w:r>
      <w:proofErr w:type="gramStart"/>
      <w:r w:rsidRPr="00D57475">
        <w:rPr>
          <w:rFonts w:ascii="Times New Roman" w:hAnsi="Times New Roman" w:cs="Times New Roman"/>
          <w:sz w:val="24"/>
          <w:szCs w:val="24"/>
          <w:lang w:val="es-ES"/>
        </w:rPr>
        <w:t>colaboración mutua</w:t>
      </w:r>
      <w:proofErr w:type="gramEnd"/>
      <w:r w:rsidRPr="00D57475">
        <w:rPr>
          <w:rFonts w:ascii="Times New Roman" w:hAnsi="Times New Roman" w:cs="Times New Roman"/>
          <w:sz w:val="24"/>
          <w:szCs w:val="24"/>
          <w:lang w:val="es-ES"/>
        </w:rPr>
        <w:t xml:space="preserve">. En esa medida, prestarán las facilidades necesarias para determinar todos los sujetos pasivos de </w:t>
      </w:r>
      <w:proofErr w:type="gramStart"/>
      <w:r w:rsidRPr="00D57475">
        <w:rPr>
          <w:rFonts w:ascii="Times New Roman" w:hAnsi="Times New Roman" w:cs="Times New Roman"/>
          <w:sz w:val="24"/>
          <w:szCs w:val="24"/>
          <w:lang w:val="es-ES"/>
        </w:rPr>
        <w:t>ésta</w:t>
      </w:r>
      <w:proofErr w:type="gramEnd"/>
      <w:r w:rsidRPr="00D57475">
        <w:rPr>
          <w:rFonts w:ascii="Times New Roman" w:hAnsi="Times New Roman" w:cs="Times New Roman"/>
          <w:sz w:val="24"/>
          <w:szCs w:val="24"/>
          <w:lang w:val="es-ES"/>
        </w:rPr>
        <w:t xml:space="preserve"> contribución. </w:t>
      </w:r>
    </w:p>
    <w:p w14:paraId="10E367DB" w14:textId="30E6A8C6" w:rsidR="001F2963" w:rsidRPr="00D57475" w:rsidRDefault="00D57475" w:rsidP="00D57475">
      <w:pPr>
        <w:pStyle w:val="Bloque"/>
        <w:spacing w:line="276" w:lineRule="auto"/>
        <w:ind w:left="0" w:right="0"/>
        <w:rPr>
          <w:rFonts w:ascii="Times New Roman" w:hAnsi="Times New Roman" w:cs="Times New Roman"/>
          <w:sz w:val="24"/>
          <w:szCs w:val="24"/>
          <w:lang w:val="es-ES"/>
        </w:rPr>
      </w:pPr>
      <w:r w:rsidRPr="00D57475">
        <w:rPr>
          <w:rFonts w:ascii="Times New Roman" w:hAnsi="Times New Roman" w:cs="Times New Roman"/>
          <w:b/>
          <w:bCs/>
          <w:sz w:val="24"/>
          <w:szCs w:val="24"/>
          <w:lang w:val="es-ES"/>
        </w:rPr>
        <w:lastRenderedPageBreak/>
        <w:t xml:space="preserve">Disposición </w:t>
      </w:r>
      <w:proofErr w:type="gramStart"/>
      <w:r w:rsidRPr="00D57475">
        <w:rPr>
          <w:rFonts w:ascii="Times New Roman" w:hAnsi="Times New Roman" w:cs="Times New Roman"/>
          <w:b/>
          <w:bCs/>
          <w:sz w:val="24"/>
          <w:szCs w:val="24"/>
          <w:lang w:val="es-ES"/>
        </w:rPr>
        <w:t>Final.-</w:t>
      </w:r>
      <w:proofErr w:type="gramEnd"/>
      <w:r w:rsidRPr="00D57475">
        <w:rPr>
          <w:rFonts w:ascii="Times New Roman" w:hAnsi="Times New Roman" w:cs="Times New Roman"/>
          <w:sz w:val="24"/>
          <w:szCs w:val="24"/>
          <w:lang w:val="es-ES"/>
        </w:rPr>
        <w:t xml:space="preserve"> Esta Ley Orgánica entrará en vigencia con su publicación en el Registro Oficial. </w:t>
      </w:r>
    </w:p>
    <w:sectPr w:rsidR="001F2963" w:rsidRPr="00D57475" w:rsidSect="00225376">
      <w:headerReference w:type="default" r:id="rId11"/>
      <w:footerReference w:type="default" r:id="rId12"/>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0AD9" w14:textId="77777777" w:rsidR="000F7A94" w:rsidRDefault="000F7A94" w:rsidP="00CA48D4">
      <w:r>
        <w:separator/>
      </w:r>
    </w:p>
  </w:endnote>
  <w:endnote w:type="continuationSeparator" w:id="0">
    <w:p w14:paraId="53D491E4" w14:textId="77777777" w:rsidR="000F7A94" w:rsidRDefault="000F7A94"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dot">
    <w:altName w:val="Arial"/>
    <w:charset w:val="B1"/>
    <w:family w:val="auto"/>
    <w:pitch w:val="variable"/>
    <w:sig w:usb0="80000867" w:usb1="00000000" w:usb2="00000000" w:usb3="00000000" w:csb0="000001FB"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D12B" w14:textId="77777777" w:rsidR="000F7A94" w:rsidRDefault="000F7A94" w:rsidP="00CA48D4">
      <w:r>
        <w:separator/>
      </w:r>
    </w:p>
  </w:footnote>
  <w:footnote w:type="continuationSeparator" w:id="0">
    <w:p w14:paraId="72F4D56F" w14:textId="77777777" w:rsidR="000F7A94" w:rsidRDefault="000F7A94" w:rsidP="00CA48D4">
      <w:r>
        <w:continuationSeparator/>
      </w:r>
    </w:p>
  </w:footnote>
  <w:footnote w:id="1">
    <w:p w14:paraId="6E881F46" w14:textId="77777777" w:rsidR="00D57475" w:rsidRPr="007E7D68" w:rsidRDefault="00D57475" w:rsidP="00D57475">
      <w:pPr>
        <w:pStyle w:val="Textonotapie"/>
        <w:rPr>
          <w:lang w:val="es-ES"/>
        </w:rPr>
      </w:pPr>
      <w:r>
        <w:rPr>
          <w:rStyle w:val="Refdenotaalpie"/>
        </w:rPr>
        <w:footnoteRef/>
      </w:r>
      <w:r>
        <w:t xml:space="preserve"> Sin perjuicio de lo indicado, aquí se proponer conjuntar ambas contribuciones en una sola y crear una habilitación expresa en el COOTAD, estableciendo todos los elementos tributarios adecuados.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F"/>
    <w:multiLevelType w:val="multilevel"/>
    <w:tmpl w:val="5B9AB1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2E435F"/>
    <w:multiLevelType w:val="hybridMultilevel"/>
    <w:tmpl w:val="D8A6F912"/>
    <w:lvl w:ilvl="0" w:tplc="300A0013">
      <w:start w:val="1"/>
      <w:numFmt w:val="upp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70B5618"/>
    <w:multiLevelType w:val="multilevel"/>
    <w:tmpl w:val="0EDC8B0C"/>
    <w:lvl w:ilvl="0">
      <w:start w:val="1"/>
      <w:numFmt w:val="decimal"/>
      <w:lvlText w:val="%1."/>
      <w:lvlJc w:val="left"/>
      <w:pPr>
        <w:ind w:left="0" w:firstLine="0"/>
      </w:pPr>
      <w:rPr>
        <w:b w:val="0"/>
        <w:i w:val="0"/>
        <w:smallCaps w:val="0"/>
        <w:strike w:val="0"/>
        <w:color w:val="000000"/>
        <w:sz w:val="20"/>
        <w:szCs w:val="20"/>
        <w:u w:val="none"/>
        <w:vertAlign w:val="baseline"/>
      </w:rPr>
    </w:lvl>
    <w:lvl w:ilvl="1">
      <w:start w:val="1"/>
      <w:numFmt w:val="lowerLetter"/>
      <w:lvlText w:val="(%2)"/>
      <w:lvlJc w:val="left"/>
      <w:pPr>
        <w:ind w:left="-4962" w:hanging="426"/>
      </w:pPr>
    </w:lvl>
    <w:lvl w:ilvl="2">
      <w:start w:val="1"/>
      <w:numFmt w:val="lowerRoman"/>
      <w:lvlText w:val="(%3)"/>
      <w:lvlJc w:val="left"/>
      <w:pPr>
        <w:ind w:left="-4537" w:hanging="425"/>
      </w:pPr>
    </w:lvl>
    <w:lvl w:ilvl="3">
      <w:start w:val="1"/>
      <w:numFmt w:val="decimal"/>
      <w:lvlText w:val="(%4)"/>
      <w:lvlJc w:val="left"/>
      <w:pPr>
        <w:ind w:left="-4373" w:hanging="360"/>
      </w:pPr>
    </w:lvl>
    <w:lvl w:ilvl="4">
      <w:start w:val="1"/>
      <w:numFmt w:val="lowerLetter"/>
      <w:lvlText w:val="(%5)"/>
      <w:lvlJc w:val="left"/>
      <w:pPr>
        <w:ind w:left="-4013" w:hanging="360"/>
      </w:pPr>
    </w:lvl>
    <w:lvl w:ilvl="5">
      <w:start w:val="1"/>
      <w:numFmt w:val="lowerRoman"/>
      <w:lvlText w:val="(%6)"/>
      <w:lvlJc w:val="left"/>
      <w:pPr>
        <w:ind w:left="-3653" w:hanging="360"/>
      </w:pPr>
    </w:lvl>
    <w:lvl w:ilvl="6">
      <w:start w:val="1"/>
      <w:numFmt w:val="decimal"/>
      <w:lvlText w:val="%7."/>
      <w:lvlJc w:val="left"/>
      <w:pPr>
        <w:ind w:left="-3293" w:hanging="360"/>
      </w:pPr>
    </w:lvl>
    <w:lvl w:ilvl="7">
      <w:start w:val="1"/>
      <w:numFmt w:val="lowerLetter"/>
      <w:lvlText w:val="%8."/>
      <w:lvlJc w:val="left"/>
      <w:pPr>
        <w:ind w:left="-2933" w:hanging="360"/>
      </w:pPr>
    </w:lvl>
    <w:lvl w:ilvl="8">
      <w:start w:val="1"/>
      <w:numFmt w:val="lowerRoman"/>
      <w:lvlText w:val="%9."/>
      <w:lvlJc w:val="left"/>
      <w:pPr>
        <w:ind w:left="-2573" w:hanging="360"/>
      </w:pPr>
    </w:lvl>
  </w:abstractNum>
  <w:abstractNum w:abstractNumId="3" w15:restartNumberingAfterBreak="0">
    <w:nsid w:val="07241C49"/>
    <w:multiLevelType w:val="hybridMultilevel"/>
    <w:tmpl w:val="48F44862"/>
    <w:lvl w:ilvl="0" w:tplc="6EE6D22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3152E5A"/>
    <w:multiLevelType w:val="multilevel"/>
    <w:tmpl w:val="CAF005D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1C6D3B3F"/>
    <w:multiLevelType w:val="multilevel"/>
    <w:tmpl w:val="572EE5E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20353692"/>
    <w:multiLevelType w:val="multilevel"/>
    <w:tmpl w:val="90BC24B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 w15:restartNumberingAfterBreak="0">
    <w:nsid w:val="2BBA453F"/>
    <w:multiLevelType w:val="hybridMultilevel"/>
    <w:tmpl w:val="9B72FAD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C6027A2"/>
    <w:multiLevelType w:val="hybridMultilevel"/>
    <w:tmpl w:val="321CE458"/>
    <w:lvl w:ilvl="0" w:tplc="F7DC7226">
      <w:start w:val="1"/>
      <w:numFmt w:val="decimal"/>
      <w:lvlText w:val="Art. %1."/>
      <w:lvlJc w:val="left"/>
      <w:pPr>
        <w:ind w:left="0" w:firstLine="0"/>
      </w:pPr>
      <w:rPr>
        <w:rFonts w:hint="default"/>
        <w:b/>
        <w:i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A3119E3"/>
    <w:multiLevelType w:val="multilevel"/>
    <w:tmpl w:val="B7E8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676BE"/>
    <w:multiLevelType w:val="multilevel"/>
    <w:tmpl w:val="2D3A5C4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2" w15:restartNumberingAfterBreak="0">
    <w:nsid w:val="4B781284"/>
    <w:multiLevelType w:val="hybridMultilevel"/>
    <w:tmpl w:val="F5A0C566"/>
    <w:lvl w:ilvl="0" w:tplc="13D64964">
      <w:start w:val="1"/>
      <w:numFmt w:val="decimal"/>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3" w15:restartNumberingAfterBreak="0">
    <w:nsid w:val="56095966"/>
    <w:multiLevelType w:val="hybridMultilevel"/>
    <w:tmpl w:val="0982300C"/>
    <w:lvl w:ilvl="0" w:tplc="FFFFFFFF">
      <w:start w:val="1"/>
      <w:numFmt w:val="decimal"/>
      <w:lvlText w:val="Art. %1."/>
      <w:lvlJc w:val="left"/>
      <w:pPr>
        <w:ind w:left="0" w:firstLine="0"/>
      </w:pPr>
      <w:rPr>
        <w:rFonts w:hint="default"/>
        <w:b/>
        <w:i w:val="0"/>
      </w:rPr>
    </w:lvl>
    <w:lvl w:ilvl="1" w:tplc="0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2C0093"/>
    <w:multiLevelType w:val="multilevel"/>
    <w:tmpl w:val="298642AA"/>
    <w:lvl w:ilvl="0">
      <w:start w:val="1"/>
      <w:numFmt w:val="decimal"/>
      <w:lvlText w:val="%1."/>
      <w:lvlJc w:val="left"/>
      <w:pPr>
        <w:ind w:left="5813" w:firstLine="0"/>
      </w:pPr>
      <w:rPr>
        <w:b w:val="0"/>
        <w:i w:val="0"/>
        <w:smallCaps w:val="0"/>
        <w:strike w:val="0"/>
        <w:color w:val="000000"/>
        <w:sz w:val="20"/>
        <w:szCs w:val="20"/>
        <w:u w:val="none"/>
        <w:vertAlign w:val="baseline"/>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A922CB"/>
    <w:multiLevelType w:val="multilevel"/>
    <w:tmpl w:val="0EE81A8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5DF25EA1"/>
    <w:multiLevelType w:val="multilevel"/>
    <w:tmpl w:val="125C932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15:restartNumberingAfterBreak="0">
    <w:nsid w:val="5E51147E"/>
    <w:multiLevelType w:val="multilevel"/>
    <w:tmpl w:val="0EE81A8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621B7228"/>
    <w:multiLevelType w:val="multilevel"/>
    <w:tmpl w:val="572EE5E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9" w15:restartNumberingAfterBreak="0">
    <w:nsid w:val="73041E72"/>
    <w:multiLevelType w:val="multilevel"/>
    <w:tmpl w:val="3E2CAD3C"/>
    <w:lvl w:ilvl="0">
      <w:start w:val="1"/>
      <w:numFmt w:val="decimal"/>
      <w:lvlText w:val="%1."/>
      <w:lvlJc w:val="left"/>
      <w:pPr>
        <w:ind w:left="360" w:hanging="360"/>
      </w:p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20" w15:restartNumberingAfterBreak="0">
    <w:nsid w:val="742C04EB"/>
    <w:multiLevelType w:val="multilevel"/>
    <w:tmpl w:val="125C932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7B024B2D"/>
    <w:multiLevelType w:val="multilevel"/>
    <w:tmpl w:val="3AD08C3E"/>
    <w:lvl w:ilvl="0">
      <w:start w:val="1"/>
      <w:numFmt w:val="decimal"/>
      <w:pStyle w:val="Ttulo1"/>
      <w:lvlText w:val="%1"/>
      <w:lvlJc w:val="left"/>
      <w:pPr>
        <w:ind w:left="2592" w:hanging="432"/>
      </w:pPr>
    </w:lvl>
    <w:lvl w:ilvl="1">
      <w:start w:val="1"/>
      <w:numFmt w:val="decimal"/>
      <w:pStyle w:val="Ttulo2"/>
      <w:lvlText w:val="%1.%2"/>
      <w:lvlJc w:val="left"/>
      <w:pPr>
        <w:ind w:left="2736" w:hanging="576"/>
      </w:pPr>
    </w:lvl>
    <w:lvl w:ilvl="2">
      <w:start w:val="1"/>
      <w:numFmt w:val="decimal"/>
      <w:pStyle w:val="Ttulo3"/>
      <w:lvlText w:val="%1.%2.%3"/>
      <w:lvlJc w:val="left"/>
      <w:pPr>
        <w:ind w:left="2880" w:hanging="720"/>
      </w:pPr>
    </w:lvl>
    <w:lvl w:ilvl="3">
      <w:start w:val="1"/>
      <w:numFmt w:val="decimal"/>
      <w:pStyle w:val="Ttulo4"/>
      <w:lvlText w:val="%1.%2.%3.%4"/>
      <w:lvlJc w:val="left"/>
      <w:pPr>
        <w:ind w:left="3024" w:hanging="864"/>
      </w:pPr>
    </w:lvl>
    <w:lvl w:ilvl="4">
      <w:start w:val="1"/>
      <w:numFmt w:val="decimal"/>
      <w:pStyle w:val="Ttulo5"/>
      <w:lvlText w:val="%1.%2.%3.%4.%5"/>
      <w:lvlJc w:val="left"/>
      <w:pPr>
        <w:ind w:left="3168" w:hanging="1008"/>
      </w:pPr>
    </w:lvl>
    <w:lvl w:ilvl="5">
      <w:start w:val="1"/>
      <w:numFmt w:val="decimal"/>
      <w:pStyle w:val="Ttulo6"/>
      <w:lvlText w:val="%1.%2.%3.%4.%5.%6"/>
      <w:lvlJc w:val="left"/>
      <w:pPr>
        <w:ind w:left="3312" w:hanging="1152"/>
      </w:pPr>
    </w:lvl>
    <w:lvl w:ilvl="6">
      <w:start w:val="1"/>
      <w:numFmt w:val="decimal"/>
      <w:pStyle w:val="Ttulo7"/>
      <w:lvlText w:val="%1.%2.%3.%4.%5.%6.%7"/>
      <w:lvlJc w:val="left"/>
      <w:pPr>
        <w:ind w:left="3456" w:hanging="1296"/>
      </w:pPr>
    </w:lvl>
    <w:lvl w:ilvl="7">
      <w:start w:val="1"/>
      <w:numFmt w:val="decimal"/>
      <w:pStyle w:val="Ttulo8"/>
      <w:lvlText w:val="%1.%2.%3.%4.%5.%6.%7.%8"/>
      <w:lvlJc w:val="left"/>
      <w:pPr>
        <w:ind w:left="3600" w:hanging="1440"/>
      </w:pPr>
    </w:lvl>
    <w:lvl w:ilvl="8">
      <w:start w:val="1"/>
      <w:numFmt w:val="decimal"/>
      <w:pStyle w:val="Ttulo9"/>
      <w:lvlText w:val="%1.%2.%3.%4.%5.%6.%7.%8.%9"/>
      <w:lvlJc w:val="left"/>
      <w:pPr>
        <w:ind w:left="3744" w:hanging="1584"/>
      </w:pPr>
    </w:lvl>
  </w:abstractNum>
  <w:abstractNum w:abstractNumId="22" w15:restartNumberingAfterBreak="0">
    <w:nsid w:val="7C2149B4"/>
    <w:multiLevelType w:val="hybridMultilevel"/>
    <w:tmpl w:val="9550C35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67791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134176">
    <w:abstractNumId w:val="1"/>
  </w:num>
  <w:num w:numId="3" w16cid:durableId="1056513123">
    <w:abstractNumId w:val="3"/>
  </w:num>
  <w:num w:numId="4" w16cid:durableId="203907828">
    <w:abstractNumId w:val="7"/>
  </w:num>
  <w:num w:numId="5" w16cid:durableId="1697344614">
    <w:abstractNumId w:val="22"/>
  </w:num>
  <w:num w:numId="6" w16cid:durableId="2131430739">
    <w:abstractNumId w:val="21"/>
  </w:num>
  <w:num w:numId="7" w16cid:durableId="1348751738">
    <w:abstractNumId w:val="4"/>
  </w:num>
  <w:num w:numId="8" w16cid:durableId="2064869031">
    <w:abstractNumId w:val="16"/>
  </w:num>
  <w:num w:numId="9" w16cid:durableId="1596088764">
    <w:abstractNumId w:val="10"/>
  </w:num>
  <w:num w:numId="10" w16cid:durableId="1058865625">
    <w:abstractNumId w:val="15"/>
  </w:num>
  <w:num w:numId="11" w16cid:durableId="297074904">
    <w:abstractNumId w:val="18"/>
  </w:num>
  <w:num w:numId="12" w16cid:durableId="345138612">
    <w:abstractNumId w:val="6"/>
  </w:num>
  <w:num w:numId="13" w16cid:durableId="1987397701">
    <w:abstractNumId w:val="20"/>
  </w:num>
  <w:num w:numId="14" w16cid:durableId="811026002">
    <w:abstractNumId w:val="17"/>
  </w:num>
  <w:num w:numId="15" w16cid:durableId="1834488734">
    <w:abstractNumId w:val="5"/>
  </w:num>
  <w:num w:numId="16" w16cid:durableId="1338650969">
    <w:abstractNumId w:val="19"/>
  </w:num>
  <w:num w:numId="17" w16cid:durableId="1530337456">
    <w:abstractNumId w:val="9"/>
  </w:num>
  <w:num w:numId="18" w16cid:durableId="1243026400">
    <w:abstractNumId w:val="8"/>
  </w:num>
  <w:num w:numId="19" w16cid:durableId="928082095">
    <w:abstractNumId w:val="13"/>
  </w:num>
  <w:num w:numId="20" w16cid:durableId="1312910360">
    <w:abstractNumId w:val="2"/>
  </w:num>
  <w:num w:numId="21" w16cid:durableId="421798779">
    <w:abstractNumId w:val="0"/>
  </w:num>
  <w:num w:numId="22" w16cid:durableId="1537159540">
    <w:abstractNumId w:val="14"/>
  </w:num>
  <w:num w:numId="23" w16cid:durableId="1977484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77BE"/>
    <w:rsid w:val="000168BF"/>
    <w:rsid w:val="00046FF8"/>
    <w:rsid w:val="00072C57"/>
    <w:rsid w:val="000B0D09"/>
    <w:rsid w:val="000C54D4"/>
    <w:rsid w:val="000D5B7D"/>
    <w:rsid w:val="000F0475"/>
    <w:rsid w:val="000F1446"/>
    <w:rsid w:val="000F20FB"/>
    <w:rsid w:val="000F7A94"/>
    <w:rsid w:val="0016734D"/>
    <w:rsid w:val="0018411D"/>
    <w:rsid w:val="0018797D"/>
    <w:rsid w:val="001958D0"/>
    <w:rsid w:val="001A29A0"/>
    <w:rsid w:val="001E6CDE"/>
    <w:rsid w:val="001F2963"/>
    <w:rsid w:val="001F40F1"/>
    <w:rsid w:val="002221C3"/>
    <w:rsid w:val="00223D1F"/>
    <w:rsid w:val="00225376"/>
    <w:rsid w:val="00262F03"/>
    <w:rsid w:val="00272749"/>
    <w:rsid w:val="002D208A"/>
    <w:rsid w:val="002D44D8"/>
    <w:rsid w:val="002E1EF8"/>
    <w:rsid w:val="002F25B4"/>
    <w:rsid w:val="00302A3E"/>
    <w:rsid w:val="003138E4"/>
    <w:rsid w:val="003277CD"/>
    <w:rsid w:val="003466B8"/>
    <w:rsid w:val="00347D6E"/>
    <w:rsid w:val="00373A64"/>
    <w:rsid w:val="003855B0"/>
    <w:rsid w:val="003B28BA"/>
    <w:rsid w:val="003C17A9"/>
    <w:rsid w:val="003F249B"/>
    <w:rsid w:val="0044339F"/>
    <w:rsid w:val="00470F6F"/>
    <w:rsid w:val="00504273"/>
    <w:rsid w:val="00507D2F"/>
    <w:rsid w:val="005113AE"/>
    <w:rsid w:val="00522B45"/>
    <w:rsid w:val="00541425"/>
    <w:rsid w:val="00547B36"/>
    <w:rsid w:val="00556539"/>
    <w:rsid w:val="00567891"/>
    <w:rsid w:val="00573A05"/>
    <w:rsid w:val="00573FB4"/>
    <w:rsid w:val="00593074"/>
    <w:rsid w:val="0062662C"/>
    <w:rsid w:val="00641874"/>
    <w:rsid w:val="006454BC"/>
    <w:rsid w:val="00673302"/>
    <w:rsid w:val="00680EF1"/>
    <w:rsid w:val="00696A5E"/>
    <w:rsid w:val="006B2EE3"/>
    <w:rsid w:val="006C40FB"/>
    <w:rsid w:val="006D7351"/>
    <w:rsid w:val="006F7A6C"/>
    <w:rsid w:val="00736AFA"/>
    <w:rsid w:val="007478C7"/>
    <w:rsid w:val="00772222"/>
    <w:rsid w:val="00781FC7"/>
    <w:rsid w:val="007911F9"/>
    <w:rsid w:val="00791FEE"/>
    <w:rsid w:val="007D4832"/>
    <w:rsid w:val="007F0FFF"/>
    <w:rsid w:val="007F1136"/>
    <w:rsid w:val="00834EB0"/>
    <w:rsid w:val="00887C9E"/>
    <w:rsid w:val="008D77A8"/>
    <w:rsid w:val="009172EF"/>
    <w:rsid w:val="00926911"/>
    <w:rsid w:val="00953C4A"/>
    <w:rsid w:val="009545D8"/>
    <w:rsid w:val="009634AB"/>
    <w:rsid w:val="00963F90"/>
    <w:rsid w:val="009662A1"/>
    <w:rsid w:val="009708EB"/>
    <w:rsid w:val="00970DA0"/>
    <w:rsid w:val="00974C9C"/>
    <w:rsid w:val="00975240"/>
    <w:rsid w:val="00984D29"/>
    <w:rsid w:val="00991589"/>
    <w:rsid w:val="009A1B11"/>
    <w:rsid w:val="009B0295"/>
    <w:rsid w:val="00A36233"/>
    <w:rsid w:val="00A82101"/>
    <w:rsid w:val="00AA7895"/>
    <w:rsid w:val="00AB067F"/>
    <w:rsid w:val="00AC4745"/>
    <w:rsid w:val="00AF3F5C"/>
    <w:rsid w:val="00B600C9"/>
    <w:rsid w:val="00BA20FC"/>
    <w:rsid w:val="00BD3E95"/>
    <w:rsid w:val="00BF2732"/>
    <w:rsid w:val="00C24614"/>
    <w:rsid w:val="00C5089A"/>
    <w:rsid w:val="00C80425"/>
    <w:rsid w:val="00CA48D4"/>
    <w:rsid w:val="00CB2804"/>
    <w:rsid w:val="00CC1344"/>
    <w:rsid w:val="00CE25F4"/>
    <w:rsid w:val="00D1378B"/>
    <w:rsid w:val="00D57475"/>
    <w:rsid w:val="00D62FAE"/>
    <w:rsid w:val="00D90436"/>
    <w:rsid w:val="00D96670"/>
    <w:rsid w:val="00DD6697"/>
    <w:rsid w:val="00E14707"/>
    <w:rsid w:val="00E222D5"/>
    <w:rsid w:val="00E316BC"/>
    <w:rsid w:val="00E63140"/>
    <w:rsid w:val="00EA17BD"/>
    <w:rsid w:val="00EB7043"/>
    <w:rsid w:val="00ED112E"/>
    <w:rsid w:val="00ED5971"/>
    <w:rsid w:val="00EF2698"/>
    <w:rsid w:val="00F1381E"/>
    <w:rsid w:val="00F3449C"/>
    <w:rsid w:val="00F54D44"/>
    <w:rsid w:val="00F935FF"/>
    <w:rsid w:val="00FA4337"/>
    <w:rsid w:val="00FB3552"/>
    <w:rsid w:val="00FB5783"/>
    <w:rsid w:val="00FD236F"/>
    <w:rsid w:val="00FD4165"/>
    <w:rsid w:val="00FD4207"/>
    <w:rsid w:val="00FE69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7475"/>
    <w:pPr>
      <w:keepNext/>
      <w:keepLines/>
      <w:numPr>
        <w:numId w:val="6"/>
      </w:numPr>
      <w:spacing w:before="240" w:line="259" w:lineRule="auto"/>
      <w:ind w:left="432"/>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iPriority w:val="9"/>
    <w:unhideWhenUsed/>
    <w:qFormat/>
    <w:rsid w:val="00D57475"/>
    <w:pPr>
      <w:keepNext/>
      <w:keepLines/>
      <w:numPr>
        <w:ilvl w:val="1"/>
        <w:numId w:val="6"/>
      </w:numPr>
      <w:spacing w:before="40" w:line="259" w:lineRule="auto"/>
      <w:ind w:left="1284"/>
      <w:outlineLvl w:val="1"/>
    </w:pPr>
    <w:rPr>
      <w:rFonts w:ascii="Times New Roman" w:eastAsiaTheme="majorEastAsia" w:hAnsi="Times New Roman" w:cstheme="majorBidi"/>
      <w:b/>
      <w:color w:val="000000" w:themeColor="text1"/>
      <w:sz w:val="26"/>
      <w:szCs w:val="26"/>
      <w:lang w:eastAsia="es-MX"/>
    </w:rPr>
  </w:style>
  <w:style w:type="paragraph" w:styleId="Ttulo3">
    <w:name w:val="heading 3"/>
    <w:basedOn w:val="Normal"/>
    <w:next w:val="Normal"/>
    <w:link w:val="Ttulo3Car"/>
    <w:autoRedefine/>
    <w:uiPriority w:val="9"/>
    <w:unhideWhenUsed/>
    <w:qFormat/>
    <w:rsid w:val="00D57475"/>
    <w:pPr>
      <w:keepNext/>
      <w:keepLines/>
      <w:numPr>
        <w:ilvl w:val="2"/>
        <w:numId w:val="6"/>
      </w:numPr>
      <w:spacing w:before="40" w:line="259" w:lineRule="auto"/>
      <w:ind w:left="2136"/>
      <w:jc w:val="both"/>
      <w:outlineLvl w:val="2"/>
    </w:pPr>
    <w:rPr>
      <w:rFonts w:ascii="Times New Roman" w:eastAsiaTheme="majorEastAsia" w:hAnsi="Times New Roman" w:cstheme="majorBidi"/>
      <w:b/>
      <w:color w:val="000000" w:themeColor="text1"/>
      <w:lang w:eastAsia="es-MX"/>
    </w:rPr>
  </w:style>
  <w:style w:type="paragraph" w:styleId="Ttulo4">
    <w:name w:val="heading 4"/>
    <w:basedOn w:val="Normal"/>
    <w:next w:val="Normal"/>
    <w:link w:val="Ttulo4Car"/>
    <w:autoRedefine/>
    <w:uiPriority w:val="9"/>
    <w:unhideWhenUsed/>
    <w:qFormat/>
    <w:rsid w:val="00D57475"/>
    <w:pPr>
      <w:keepNext/>
      <w:keepLines/>
      <w:numPr>
        <w:ilvl w:val="3"/>
        <w:numId w:val="6"/>
      </w:numPr>
      <w:spacing w:before="40" w:line="259" w:lineRule="auto"/>
      <w:jc w:val="both"/>
      <w:outlineLvl w:val="3"/>
    </w:pPr>
    <w:rPr>
      <w:rFonts w:ascii="Times New Roman" w:eastAsiaTheme="majorEastAsia" w:hAnsi="Times New Roman" w:cstheme="majorBidi"/>
      <w:b/>
      <w:iCs/>
      <w:color w:val="000000" w:themeColor="text1"/>
      <w:sz w:val="22"/>
      <w:szCs w:val="22"/>
      <w:lang w:eastAsia="es-MX"/>
    </w:rPr>
  </w:style>
  <w:style w:type="paragraph" w:styleId="Ttulo5">
    <w:name w:val="heading 5"/>
    <w:basedOn w:val="Normal"/>
    <w:next w:val="Normal"/>
    <w:link w:val="Ttulo5Car"/>
    <w:autoRedefine/>
    <w:uiPriority w:val="9"/>
    <w:unhideWhenUsed/>
    <w:qFormat/>
    <w:rsid w:val="00D57475"/>
    <w:pPr>
      <w:keepNext/>
      <w:keepLines/>
      <w:numPr>
        <w:ilvl w:val="4"/>
        <w:numId w:val="6"/>
      </w:numPr>
      <w:spacing w:before="40" w:line="259" w:lineRule="auto"/>
      <w:outlineLvl w:val="4"/>
    </w:pPr>
    <w:rPr>
      <w:rFonts w:ascii="Times New Roman" w:eastAsiaTheme="majorEastAsia" w:hAnsi="Times New Roman" w:cstheme="majorBidi"/>
      <w:color w:val="000000" w:themeColor="text1"/>
      <w:sz w:val="22"/>
      <w:szCs w:val="22"/>
      <w:u w:val="single"/>
      <w:lang w:eastAsia="es-MX"/>
    </w:rPr>
  </w:style>
  <w:style w:type="paragraph" w:styleId="Ttulo6">
    <w:name w:val="heading 6"/>
    <w:basedOn w:val="Normal"/>
    <w:next w:val="Normal"/>
    <w:link w:val="Ttulo6Car"/>
    <w:uiPriority w:val="9"/>
    <w:semiHidden/>
    <w:unhideWhenUsed/>
    <w:qFormat/>
    <w:rsid w:val="00D57475"/>
    <w:pPr>
      <w:keepNext/>
      <w:keepLines/>
      <w:numPr>
        <w:ilvl w:val="5"/>
        <w:numId w:val="6"/>
      </w:numPr>
      <w:spacing w:before="40" w:line="259" w:lineRule="auto"/>
      <w:outlineLvl w:val="5"/>
    </w:pPr>
    <w:rPr>
      <w:rFonts w:asciiTheme="majorHAnsi" w:eastAsiaTheme="majorEastAsia" w:hAnsiTheme="majorHAnsi" w:cstheme="majorBidi"/>
      <w:color w:val="1F3763" w:themeColor="accent1" w:themeShade="7F"/>
      <w:sz w:val="22"/>
      <w:szCs w:val="22"/>
      <w:lang w:eastAsia="es-MX"/>
    </w:rPr>
  </w:style>
  <w:style w:type="paragraph" w:styleId="Ttulo7">
    <w:name w:val="heading 7"/>
    <w:basedOn w:val="Normal"/>
    <w:next w:val="Normal"/>
    <w:link w:val="Ttulo7Car"/>
    <w:uiPriority w:val="9"/>
    <w:semiHidden/>
    <w:unhideWhenUsed/>
    <w:qFormat/>
    <w:rsid w:val="00D57475"/>
    <w:pPr>
      <w:keepNext/>
      <w:keepLines/>
      <w:numPr>
        <w:ilvl w:val="6"/>
        <w:numId w:val="6"/>
      </w:numPr>
      <w:spacing w:before="40" w:line="259" w:lineRule="auto"/>
      <w:outlineLvl w:val="6"/>
    </w:pPr>
    <w:rPr>
      <w:rFonts w:asciiTheme="majorHAnsi" w:eastAsiaTheme="majorEastAsia" w:hAnsiTheme="majorHAnsi" w:cstheme="majorBidi"/>
      <w:i/>
      <w:iCs/>
      <w:color w:val="1F3763" w:themeColor="accent1" w:themeShade="7F"/>
      <w:sz w:val="22"/>
      <w:szCs w:val="22"/>
      <w:lang w:eastAsia="es-MX"/>
    </w:rPr>
  </w:style>
  <w:style w:type="paragraph" w:styleId="Ttulo8">
    <w:name w:val="heading 8"/>
    <w:basedOn w:val="Normal"/>
    <w:next w:val="Normal"/>
    <w:link w:val="Ttulo8Car"/>
    <w:uiPriority w:val="9"/>
    <w:semiHidden/>
    <w:unhideWhenUsed/>
    <w:qFormat/>
    <w:rsid w:val="00D57475"/>
    <w:pPr>
      <w:keepNext/>
      <w:keepLines/>
      <w:numPr>
        <w:ilvl w:val="7"/>
        <w:numId w:val="6"/>
      </w:numPr>
      <w:spacing w:before="40" w:line="259" w:lineRule="auto"/>
      <w:outlineLvl w:val="7"/>
    </w:pPr>
    <w:rPr>
      <w:rFonts w:asciiTheme="majorHAnsi" w:eastAsiaTheme="majorEastAsia" w:hAnsiTheme="majorHAnsi" w:cstheme="majorBidi"/>
      <w:color w:val="272727" w:themeColor="text1" w:themeTint="D8"/>
      <w:sz w:val="21"/>
      <w:szCs w:val="21"/>
      <w:lang w:eastAsia="es-MX"/>
    </w:rPr>
  </w:style>
  <w:style w:type="paragraph" w:styleId="Ttulo9">
    <w:name w:val="heading 9"/>
    <w:basedOn w:val="Normal"/>
    <w:next w:val="Normal"/>
    <w:link w:val="Ttulo9Car"/>
    <w:uiPriority w:val="9"/>
    <w:semiHidden/>
    <w:unhideWhenUsed/>
    <w:qFormat/>
    <w:rsid w:val="00D57475"/>
    <w:pPr>
      <w:keepNext/>
      <w:keepLines/>
      <w:numPr>
        <w:ilvl w:val="8"/>
        <w:numId w:val="6"/>
      </w:numPr>
      <w:spacing w:before="40" w:line="259" w:lineRule="auto"/>
      <w:outlineLvl w:val="8"/>
    </w:pPr>
    <w:rPr>
      <w:rFonts w:asciiTheme="majorHAnsi" w:eastAsiaTheme="majorEastAsia" w:hAnsiTheme="majorHAnsi" w:cstheme="majorBidi"/>
      <w:i/>
      <w:iCs/>
      <w:color w:val="272727" w:themeColor="text1" w:themeTint="D8"/>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aliases w:val="TIT 2 IND,Titulo parrafo,Texto,List Paragraph1,Capítulo,Párrafo,lista tabla,Multi Level List 1,Lista vistosa - Énfasis 11,Párrafo de lista SUBCAPITULO,Párrafo de lista1,Colorful List - Accent 11,titulo 5,Dot pt,No Spacing1"/>
    <w:basedOn w:val="Normal"/>
    <w:link w:val="PrrafodelistaCar"/>
    <w:uiPriority w:val="34"/>
    <w:qFormat/>
    <w:rsid w:val="006D7351"/>
    <w:pPr>
      <w:spacing w:after="160" w:line="256" w:lineRule="auto"/>
      <w:ind w:left="720"/>
      <w:contextualSpacing/>
    </w:pPr>
    <w:rPr>
      <w:sz w:val="22"/>
      <w:szCs w:val="22"/>
    </w:rPr>
  </w:style>
  <w:style w:type="paragraph" w:styleId="Textonotapie">
    <w:name w:val="footnote text"/>
    <w:basedOn w:val="Normal"/>
    <w:link w:val="TextonotapieCar"/>
    <w:uiPriority w:val="99"/>
    <w:unhideWhenUsed/>
    <w:qFormat/>
    <w:rsid w:val="000F0475"/>
    <w:rPr>
      <w:sz w:val="20"/>
      <w:szCs w:val="20"/>
    </w:rPr>
  </w:style>
  <w:style w:type="character" w:customStyle="1" w:styleId="TextonotapieCar">
    <w:name w:val="Texto nota pie Car"/>
    <w:basedOn w:val="Fuentedeprrafopredeter"/>
    <w:link w:val="Textonotapie"/>
    <w:uiPriority w:val="99"/>
    <w:rsid w:val="000F0475"/>
    <w:rPr>
      <w:sz w:val="20"/>
      <w:szCs w:val="20"/>
    </w:rPr>
  </w:style>
  <w:style w:type="character" w:styleId="Refdenotaalpie">
    <w:name w:val="footnote reference"/>
    <w:aliases w:val="Style 13,Ref,de nota al pie"/>
    <w:basedOn w:val="Fuentedeprrafopredeter"/>
    <w:uiPriority w:val="99"/>
    <w:unhideWhenUsed/>
    <w:rsid w:val="000F0475"/>
    <w:rPr>
      <w:vertAlign w:val="superscript"/>
    </w:rPr>
  </w:style>
  <w:style w:type="paragraph" w:styleId="Revisin">
    <w:name w:val="Revision"/>
    <w:hidden/>
    <w:uiPriority w:val="99"/>
    <w:semiHidden/>
    <w:rsid w:val="00CB2804"/>
  </w:style>
  <w:style w:type="character" w:styleId="Refdecomentario">
    <w:name w:val="annotation reference"/>
    <w:basedOn w:val="Fuentedeprrafopredeter"/>
    <w:uiPriority w:val="99"/>
    <w:semiHidden/>
    <w:unhideWhenUsed/>
    <w:rsid w:val="00984D29"/>
    <w:rPr>
      <w:sz w:val="16"/>
      <w:szCs w:val="16"/>
    </w:rPr>
  </w:style>
  <w:style w:type="paragraph" w:styleId="Textocomentario">
    <w:name w:val="annotation text"/>
    <w:basedOn w:val="Normal"/>
    <w:link w:val="TextocomentarioCar"/>
    <w:uiPriority w:val="99"/>
    <w:unhideWhenUsed/>
    <w:rsid w:val="00984D29"/>
    <w:rPr>
      <w:sz w:val="20"/>
      <w:szCs w:val="20"/>
    </w:rPr>
  </w:style>
  <w:style w:type="character" w:customStyle="1" w:styleId="TextocomentarioCar">
    <w:name w:val="Texto comentario Car"/>
    <w:basedOn w:val="Fuentedeprrafopredeter"/>
    <w:link w:val="Textocomentario"/>
    <w:uiPriority w:val="99"/>
    <w:rsid w:val="00984D29"/>
    <w:rPr>
      <w:sz w:val="20"/>
      <w:szCs w:val="20"/>
    </w:rPr>
  </w:style>
  <w:style w:type="paragraph" w:styleId="Asuntodelcomentario">
    <w:name w:val="annotation subject"/>
    <w:basedOn w:val="Textocomentario"/>
    <w:next w:val="Textocomentario"/>
    <w:link w:val="AsuntodelcomentarioCar"/>
    <w:uiPriority w:val="99"/>
    <w:semiHidden/>
    <w:unhideWhenUsed/>
    <w:rsid w:val="00984D29"/>
    <w:rPr>
      <w:b/>
      <w:bCs/>
    </w:rPr>
  </w:style>
  <w:style w:type="character" w:customStyle="1" w:styleId="AsuntodelcomentarioCar">
    <w:name w:val="Asunto del comentario Car"/>
    <w:basedOn w:val="TextocomentarioCar"/>
    <w:link w:val="Asuntodelcomentario"/>
    <w:uiPriority w:val="99"/>
    <w:semiHidden/>
    <w:rsid w:val="00984D29"/>
    <w:rPr>
      <w:b/>
      <w:bCs/>
      <w:sz w:val="20"/>
      <w:szCs w:val="20"/>
    </w:rPr>
  </w:style>
  <w:style w:type="paragraph" w:styleId="Sinespaciado">
    <w:name w:val="No Spacing"/>
    <w:uiPriority w:val="1"/>
    <w:qFormat/>
    <w:rsid w:val="00AC4745"/>
    <w:rPr>
      <w:sz w:val="22"/>
      <w:szCs w:val="22"/>
    </w:rPr>
  </w:style>
  <w:style w:type="character" w:customStyle="1" w:styleId="Ttulo1Car">
    <w:name w:val="Título 1 Car"/>
    <w:basedOn w:val="Fuentedeprrafopredeter"/>
    <w:link w:val="Ttulo1"/>
    <w:uiPriority w:val="9"/>
    <w:rsid w:val="00D57475"/>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uiPriority w:val="9"/>
    <w:rsid w:val="00D57475"/>
    <w:rPr>
      <w:rFonts w:ascii="Times New Roman" w:eastAsiaTheme="majorEastAsia" w:hAnsi="Times New Roman" w:cstheme="majorBidi"/>
      <w:b/>
      <w:color w:val="000000" w:themeColor="text1"/>
      <w:sz w:val="26"/>
      <w:szCs w:val="26"/>
      <w:lang w:eastAsia="es-MX"/>
    </w:rPr>
  </w:style>
  <w:style w:type="character" w:customStyle="1" w:styleId="Ttulo3Car">
    <w:name w:val="Título 3 Car"/>
    <w:basedOn w:val="Fuentedeprrafopredeter"/>
    <w:link w:val="Ttulo3"/>
    <w:uiPriority w:val="9"/>
    <w:rsid w:val="00D57475"/>
    <w:rPr>
      <w:rFonts w:ascii="Times New Roman" w:eastAsiaTheme="majorEastAsia" w:hAnsi="Times New Roman" w:cstheme="majorBidi"/>
      <w:b/>
      <w:color w:val="000000" w:themeColor="text1"/>
      <w:lang w:eastAsia="es-MX"/>
    </w:rPr>
  </w:style>
  <w:style w:type="character" w:customStyle="1" w:styleId="Ttulo4Car">
    <w:name w:val="Título 4 Car"/>
    <w:basedOn w:val="Fuentedeprrafopredeter"/>
    <w:link w:val="Ttulo4"/>
    <w:uiPriority w:val="9"/>
    <w:rsid w:val="00D57475"/>
    <w:rPr>
      <w:rFonts w:ascii="Times New Roman" w:eastAsiaTheme="majorEastAsia" w:hAnsi="Times New Roman" w:cstheme="majorBidi"/>
      <w:b/>
      <w:iCs/>
      <w:color w:val="000000" w:themeColor="text1"/>
      <w:sz w:val="22"/>
      <w:szCs w:val="22"/>
      <w:lang w:eastAsia="es-MX"/>
    </w:rPr>
  </w:style>
  <w:style w:type="character" w:customStyle="1" w:styleId="Ttulo5Car">
    <w:name w:val="Título 5 Car"/>
    <w:basedOn w:val="Fuentedeprrafopredeter"/>
    <w:link w:val="Ttulo5"/>
    <w:uiPriority w:val="9"/>
    <w:rsid w:val="00D57475"/>
    <w:rPr>
      <w:rFonts w:ascii="Times New Roman" w:eastAsiaTheme="majorEastAsia" w:hAnsi="Times New Roman" w:cstheme="majorBidi"/>
      <w:color w:val="000000" w:themeColor="text1"/>
      <w:sz w:val="22"/>
      <w:szCs w:val="22"/>
      <w:u w:val="single"/>
      <w:lang w:eastAsia="es-MX"/>
    </w:rPr>
  </w:style>
  <w:style w:type="character" w:customStyle="1" w:styleId="Ttulo6Car">
    <w:name w:val="Título 6 Car"/>
    <w:basedOn w:val="Fuentedeprrafopredeter"/>
    <w:link w:val="Ttulo6"/>
    <w:uiPriority w:val="9"/>
    <w:semiHidden/>
    <w:rsid w:val="00D57475"/>
    <w:rPr>
      <w:rFonts w:asciiTheme="majorHAnsi" w:eastAsiaTheme="majorEastAsia" w:hAnsiTheme="majorHAnsi" w:cstheme="majorBidi"/>
      <w:color w:val="1F3763" w:themeColor="accent1" w:themeShade="7F"/>
      <w:sz w:val="22"/>
      <w:szCs w:val="22"/>
      <w:lang w:eastAsia="es-MX"/>
    </w:rPr>
  </w:style>
  <w:style w:type="character" w:customStyle="1" w:styleId="Ttulo7Car">
    <w:name w:val="Título 7 Car"/>
    <w:basedOn w:val="Fuentedeprrafopredeter"/>
    <w:link w:val="Ttulo7"/>
    <w:uiPriority w:val="9"/>
    <w:semiHidden/>
    <w:rsid w:val="00D57475"/>
    <w:rPr>
      <w:rFonts w:asciiTheme="majorHAnsi" w:eastAsiaTheme="majorEastAsia" w:hAnsiTheme="majorHAnsi" w:cstheme="majorBidi"/>
      <w:i/>
      <w:iCs/>
      <w:color w:val="1F3763" w:themeColor="accent1" w:themeShade="7F"/>
      <w:sz w:val="22"/>
      <w:szCs w:val="22"/>
      <w:lang w:eastAsia="es-MX"/>
    </w:rPr>
  </w:style>
  <w:style w:type="character" w:customStyle="1" w:styleId="Ttulo8Car">
    <w:name w:val="Título 8 Car"/>
    <w:basedOn w:val="Fuentedeprrafopredeter"/>
    <w:link w:val="Ttulo8"/>
    <w:uiPriority w:val="9"/>
    <w:semiHidden/>
    <w:rsid w:val="00D57475"/>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D57475"/>
    <w:rPr>
      <w:rFonts w:asciiTheme="majorHAnsi" w:eastAsiaTheme="majorEastAsia" w:hAnsiTheme="majorHAnsi" w:cstheme="majorBidi"/>
      <w:i/>
      <w:iCs/>
      <w:color w:val="272727" w:themeColor="text1" w:themeTint="D8"/>
      <w:sz w:val="21"/>
      <w:szCs w:val="21"/>
      <w:lang w:eastAsia="es-MX"/>
    </w:rPr>
  </w:style>
  <w:style w:type="paragraph" w:customStyle="1" w:styleId="Bloque">
    <w:name w:val="Bloque"/>
    <w:basedOn w:val="Normal"/>
    <w:qFormat/>
    <w:rsid w:val="00D57475"/>
    <w:pPr>
      <w:spacing w:before="120"/>
      <w:ind w:left="1134" w:right="984"/>
      <w:jc w:val="both"/>
    </w:pPr>
    <w:rPr>
      <w:rFonts w:ascii="Didot" w:eastAsia="Times New Roman" w:hAnsi="Didot" w:cs="Didot"/>
      <w:sz w:val="22"/>
      <w:szCs w:val="25"/>
      <w:lang w:val="es-ES_tradnl" w:eastAsia="es-MX"/>
    </w:rPr>
  </w:style>
  <w:style w:type="character" w:customStyle="1" w:styleId="PrrafodelistaCar">
    <w:name w:val="Párrafo de lista Car"/>
    <w:aliases w:val="TIT 2 IND Car,Titulo parrafo Car,Texto Car,List Paragraph1 Car,Capítulo Car,Párrafo Car,lista tabla Car,Multi Level List 1 Car,Lista vistosa - Énfasis 11 Car,Párrafo de lista SUBCAPITULO Car,Párrafo de lista1 Car,titulo 5 Car"/>
    <w:link w:val="Prrafodelista"/>
    <w:uiPriority w:val="34"/>
    <w:qFormat/>
    <w:locked/>
    <w:rsid w:val="00D574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4.xml><?xml version="1.0" encoding="utf-8"?>
<ds:datastoreItem xmlns:ds="http://schemas.openxmlformats.org/officeDocument/2006/customXml" ds:itemID="{A12A7088-1494-4B85-A28F-09EC2F4F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9628</Words>
  <Characters>52956</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13</cp:revision>
  <dcterms:created xsi:type="dcterms:W3CDTF">2023-04-25T17:38:00Z</dcterms:created>
  <dcterms:modified xsi:type="dcterms:W3CDTF">2023-04-25T18:08:00Z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