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2023" w14:textId="3FAEACAE" w:rsidR="00975240" w:rsidRPr="001B5BBF" w:rsidRDefault="001B5BBF" w:rsidP="001B5BB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B5BBF">
        <w:rPr>
          <w:rFonts w:ascii="Times New Roman" w:hAnsi="Times New Roman" w:cs="Times New Roman"/>
          <w:b/>
          <w:bCs/>
        </w:rPr>
        <w:t xml:space="preserve">INFORME DE OBSERVACIONES AL PROYECTO DE LEY </w:t>
      </w:r>
      <w:r>
        <w:rPr>
          <w:rFonts w:ascii="Times New Roman" w:hAnsi="Times New Roman" w:cs="Times New Roman"/>
          <w:b/>
          <w:bCs/>
        </w:rPr>
        <w:t xml:space="preserve">ORGÁNICA </w:t>
      </w:r>
      <w:r w:rsidRPr="001B5BBF">
        <w:rPr>
          <w:rFonts w:ascii="Times New Roman" w:hAnsi="Times New Roman" w:cs="Times New Roman"/>
          <w:b/>
          <w:bCs/>
        </w:rPr>
        <w:t xml:space="preserve">REFORMATORIA </w:t>
      </w:r>
      <w:r w:rsidRPr="001B5BBF">
        <w:rPr>
          <w:rFonts w:ascii="Times New Roman" w:hAnsi="Times New Roman" w:cs="Times New Roman"/>
          <w:b/>
          <w:bCs/>
          <w:lang w:val="es-ES"/>
        </w:rPr>
        <w:t xml:space="preserve">A LA LEY </w:t>
      </w:r>
      <w:r>
        <w:rPr>
          <w:rFonts w:ascii="Times New Roman" w:hAnsi="Times New Roman" w:cs="Times New Roman"/>
          <w:b/>
          <w:bCs/>
          <w:lang w:val="es-ES"/>
        </w:rPr>
        <w:t xml:space="preserve">ORGÁNICA </w:t>
      </w:r>
      <w:r w:rsidRPr="001B5BBF">
        <w:rPr>
          <w:rFonts w:ascii="Times New Roman" w:hAnsi="Times New Roman" w:cs="Times New Roman"/>
          <w:b/>
          <w:bCs/>
          <w:lang w:val="es-ES"/>
        </w:rPr>
        <w:t>PARA LA PLANIFICACIÓN INTEGRAL DE LA CIRCUNSCRIPCIÓN TERRITORIAL ESPECIAL AMAZÓNICA</w:t>
      </w:r>
      <w:r>
        <w:rPr>
          <w:rFonts w:ascii="Times New Roman" w:hAnsi="Times New Roman" w:cs="Times New Roman"/>
          <w:b/>
          <w:bCs/>
          <w:lang w:val="es-ES"/>
        </w:rPr>
        <w:t>,</w:t>
      </w:r>
      <w:r w:rsidRPr="001B5BBF">
        <w:rPr>
          <w:rFonts w:ascii="Times New Roman" w:hAnsi="Times New Roman" w:cs="Times New Roman"/>
          <w:b/>
          <w:bCs/>
          <w:lang w:val="es-ES"/>
        </w:rPr>
        <w:t xml:space="preserve"> APROBADA POR LA ASAMBLEA NACIONAL</w:t>
      </w:r>
    </w:p>
    <w:p w14:paraId="6392F738" w14:textId="1823118A" w:rsidR="00AC4745" w:rsidRPr="001D6F4D" w:rsidRDefault="00AC4745" w:rsidP="001D6F4D">
      <w:pPr>
        <w:spacing w:line="276" w:lineRule="auto"/>
        <w:jc w:val="both"/>
        <w:rPr>
          <w:rFonts w:ascii="Times New Roman" w:hAnsi="Times New Roman" w:cs="Times New Roman"/>
        </w:rPr>
      </w:pPr>
    </w:p>
    <w:p w14:paraId="53BC8653" w14:textId="556DA124" w:rsidR="00AC4745" w:rsidRPr="001D6F4D" w:rsidRDefault="00AC4745" w:rsidP="001D6F4D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F4D">
        <w:rPr>
          <w:rFonts w:ascii="Times New Roman" w:hAnsi="Times New Roman" w:cs="Times New Roman"/>
          <w:b/>
          <w:bCs/>
          <w:sz w:val="24"/>
          <w:szCs w:val="24"/>
        </w:rPr>
        <w:t>Antecedente</w:t>
      </w:r>
      <w:r w:rsidR="00106B92" w:rsidRPr="001D6F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7A087B" w14:textId="77777777" w:rsidR="00AC4745" w:rsidRPr="001D6F4D" w:rsidRDefault="00AC4745" w:rsidP="001D6F4D">
      <w:pPr>
        <w:spacing w:line="276" w:lineRule="auto"/>
        <w:jc w:val="both"/>
        <w:rPr>
          <w:rFonts w:ascii="Times New Roman" w:hAnsi="Times New Roman" w:cs="Times New Roman"/>
        </w:rPr>
      </w:pPr>
    </w:p>
    <w:p w14:paraId="1EA4007F" w14:textId="63FB393C" w:rsidR="00AC4745" w:rsidRPr="001D6F4D" w:rsidRDefault="00AC4745" w:rsidP="001D6F4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El 30 de marzo de 2023, en sesión </w:t>
      </w:r>
      <w:r w:rsidR="00106B92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No. 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853 de la Asamblea Nacional de Ecuador, se aprobó en segundo debate una reforma a la Ley </w:t>
      </w:r>
      <w:r w:rsidR="00106B92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Orgánica 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>para la Planificación Integral de la Circunscripción Territorial Especial Amazónica (en adelante la reforma), misma que pretende:</w:t>
      </w:r>
    </w:p>
    <w:p w14:paraId="35E1FADF" w14:textId="77777777" w:rsidR="00106B92" w:rsidRPr="001D6F4D" w:rsidRDefault="00106B92" w:rsidP="001D6F4D">
      <w:pPr>
        <w:pStyle w:val="Prrafodelist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03C872C" w14:textId="37CFB1BA" w:rsidR="00AC4745" w:rsidRPr="001D6F4D" w:rsidRDefault="00AC4745" w:rsidP="001D6F4D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eastAsia="Times New Roman" w:hAnsi="Times New Roman" w:cs="Times New Roman"/>
          <w:sz w:val="24"/>
          <w:szCs w:val="24"/>
          <w:lang w:val="es-ES"/>
        </w:rPr>
        <w:t>Impulsar el desarrollo sostenible y justo en la región amazónica;</w:t>
      </w:r>
    </w:p>
    <w:p w14:paraId="3D1A848B" w14:textId="77777777" w:rsidR="00AC4745" w:rsidRPr="001D6F4D" w:rsidRDefault="00AC4745" w:rsidP="001D6F4D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inclusión de los pueblos y nacionalidades indígenas, la igualdad de género y el desarrollo sostenible en la región amazónica; </w:t>
      </w:r>
    </w:p>
    <w:p w14:paraId="3D5B8F01" w14:textId="77777777" w:rsidR="00AC4745" w:rsidRPr="001D6F4D" w:rsidRDefault="00AC4745" w:rsidP="001D6F4D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Establecer políticas para prevenir y erradicar la violencia de género contra mujeres y niñas, promover la actividad productiva sostenible y conservar la biodiversidad; </w:t>
      </w:r>
    </w:p>
    <w:p w14:paraId="7C89F047" w14:textId="77777777" w:rsidR="00AC4745" w:rsidRPr="001D6F4D" w:rsidRDefault="00AC4745" w:rsidP="001D6F4D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eastAsia="Times New Roman" w:hAnsi="Times New Roman" w:cs="Times New Roman"/>
          <w:sz w:val="24"/>
          <w:szCs w:val="24"/>
          <w:lang w:val="es-ES"/>
        </w:rPr>
        <w:t>Promover el rescate y uso de los conocimientos ancestrales de las comunidades indígenas;</w:t>
      </w:r>
    </w:p>
    <w:p w14:paraId="52D3C89B" w14:textId="77777777" w:rsidR="00AC4745" w:rsidRPr="001D6F4D" w:rsidRDefault="00AC4745" w:rsidP="001D6F4D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Modificar los ingresos que componen el </w:t>
      </w:r>
      <w:r w:rsidRPr="001D6F4D">
        <w:rPr>
          <w:rFonts w:ascii="Times New Roman" w:hAnsi="Times New Roman" w:cs="Times New Roman"/>
          <w:sz w:val="24"/>
          <w:szCs w:val="24"/>
        </w:rPr>
        <w:t>Fondo Común para la Circunscripción Territorial Especial Amazónica;</w:t>
      </w:r>
    </w:p>
    <w:p w14:paraId="21C3C30B" w14:textId="77777777" w:rsidR="00AC4745" w:rsidRPr="001D6F4D" w:rsidRDefault="00AC4745" w:rsidP="001D6F4D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eastAsia="Times New Roman" w:hAnsi="Times New Roman" w:cs="Times New Roman"/>
          <w:sz w:val="24"/>
          <w:szCs w:val="24"/>
          <w:lang w:val="es-ES"/>
        </w:rPr>
        <w:t>Modificar la distribución de recursos derivada del Fondo para el Desarrollo Sostenible Amazónico; y,</w:t>
      </w:r>
    </w:p>
    <w:p w14:paraId="6E1E4393" w14:textId="77777777" w:rsidR="00AC4745" w:rsidRPr="001D6F4D" w:rsidRDefault="00AC4745" w:rsidP="001D6F4D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eastAsia="Times New Roman" w:hAnsi="Times New Roman" w:cs="Times New Roman"/>
          <w:sz w:val="24"/>
          <w:szCs w:val="24"/>
          <w:lang w:val="es-ES"/>
        </w:rPr>
        <w:t>La creación de universidades amazónicas y el fortalecimiento de las instituciones de educación superior existentes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A1362A7" w14:textId="77777777" w:rsidR="00AC4745" w:rsidRPr="001D6F4D" w:rsidRDefault="00AC4745" w:rsidP="001D6F4D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7B647989" w14:textId="1AC1E001" w:rsidR="00AC4745" w:rsidRPr="001D6F4D" w:rsidRDefault="00AC4745" w:rsidP="001D6F4D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b/>
          <w:bCs/>
          <w:sz w:val="24"/>
          <w:szCs w:val="24"/>
          <w:lang w:val="es-ES"/>
        </w:rPr>
        <w:t>Detalle</w:t>
      </w:r>
      <w:r w:rsidR="000D2FBA" w:rsidRPr="001D6F4D">
        <w:rPr>
          <w:rFonts w:ascii="Times New Roman" w:hAnsi="Times New Roman" w:cs="Times New Roman"/>
          <w:b/>
          <w:bCs/>
          <w:sz w:val="24"/>
          <w:szCs w:val="24"/>
          <w:lang w:val="es-ES"/>
        </w:rPr>
        <w:t>s y observaciones a</w:t>
      </w:r>
      <w:r w:rsidRPr="001D6F4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la reforma</w:t>
      </w:r>
      <w:r w:rsidR="00106B92" w:rsidRPr="001D6F4D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58978177" w14:textId="77777777" w:rsidR="00AC4745" w:rsidRPr="001D6F4D" w:rsidRDefault="00AC4745" w:rsidP="001D6F4D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</w:p>
    <w:p w14:paraId="474EA672" w14:textId="4498D86C" w:rsidR="00AC4745" w:rsidRPr="001D6F4D" w:rsidRDefault="00AC4745" w:rsidP="001D6F4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>La reforma contempla sustituir al actual artículo 28 de la Ley Orgánica para la Planificación Integral de la Circunscripción Territorial Especial Amazónica (LOPICTEA) por el siguiente texto:</w:t>
      </w:r>
    </w:p>
    <w:p w14:paraId="2F5432B1" w14:textId="77777777" w:rsidR="00AC4745" w:rsidRPr="001D6F4D" w:rsidRDefault="00AC4745" w:rsidP="001D6F4D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4C296A85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lang w:val="es-ES"/>
        </w:rPr>
        <w:t>“</w:t>
      </w:r>
      <w:r w:rsidRPr="001D6F4D">
        <w:rPr>
          <w:rFonts w:ascii="Times New Roman" w:hAnsi="Times New Roman" w:cs="Times New Roman"/>
          <w:i/>
          <w:iCs/>
          <w:lang w:val="es-ES"/>
        </w:rPr>
        <w:t xml:space="preserve">Art. 28.- Salud. - El Sistema Nacional de Salud considerará las condiciones especiales de la Circunscripción y los objetivos y metas del Plan Integral para la </w:t>
      </w:r>
      <w:r w:rsidRPr="001D6F4D">
        <w:rPr>
          <w:rFonts w:ascii="Times New Roman" w:hAnsi="Times New Roman" w:cs="Times New Roman"/>
          <w:i/>
          <w:iCs/>
          <w:lang w:val="es-ES"/>
        </w:rPr>
        <w:lastRenderedPageBreak/>
        <w:t>Amazonía, en concordancia con la legislación y la planificación nacional sectorial, en función de los siguientes criterios:</w:t>
      </w:r>
    </w:p>
    <w:p w14:paraId="6BE84F53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1. Establecer programas de medicina preventiva, asistencia temporal obligatoria y de usos de la medicina ancestral, con especial énfasis en comunas, comunidades, pueblos y nacionalidades y de poblaciones distantes de los centros poblados.</w:t>
      </w:r>
    </w:p>
    <w:p w14:paraId="4A380948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2. Fomentar el funcionamiento de hospitales de docencia e investigación, que incorporen la medicina indígena, natural y los saberes ancestrales, con participación directa de sus custodios.</w:t>
      </w:r>
    </w:p>
    <w:p w14:paraId="62C8D8CF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3. Impulsar el reconocimiento, legalización y control de los centros de formación, capacitación e investigación de la medicina indígena, natural y conocimientos ancestrales.</w:t>
      </w:r>
    </w:p>
    <w:p w14:paraId="4E326C3E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4. Reconocer y garantizar la propiedad intelectual de los conocimientos y saberes ancestrales de las nacionalidades, pueblos y comunidades.</w:t>
      </w:r>
    </w:p>
    <w:p w14:paraId="7F6F67B4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 xml:space="preserve">5. Establecer programas especiales de salud y nutrición para madres embarazadas, </w:t>
      </w:r>
      <w:proofErr w:type="gramStart"/>
      <w:r w:rsidRPr="001D6F4D">
        <w:rPr>
          <w:rFonts w:ascii="Times New Roman" w:hAnsi="Times New Roman" w:cs="Times New Roman"/>
          <w:i/>
          <w:iCs/>
          <w:lang w:val="es-ES"/>
        </w:rPr>
        <w:t>niños y niñas</w:t>
      </w:r>
      <w:proofErr w:type="gramEnd"/>
      <w:r w:rsidRPr="001D6F4D">
        <w:rPr>
          <w:rFonts w:ascii="Times New Roman" w:hAnsi="Times New Roman" w:cs="Times New Roman"/>
          <w:i/>
          <w:iCs/>
          <w:lang w:val="es-ES"/>
        </w:rPr>
        <w:t xml:space="preserve"> hasta la edad escolar, adultos mayores y personas con discapacidad.</w:t>
      </w:r>
      <w:r w:rsidRPr="001D6F4D">
        <w:rPr>
          <w:rFonts w:ascii="Times New Roman" w:hAnsi="Times New Roman" w:cs="Times New Roman"/>
          <w:i/>
          <w:iCs/>
        </w:rPr>
        <w:t xml:space="preserve"> </w:t>
      </w:r>
    </w:p>
    <w:p w14:paraId="6FEA54C8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6. Implementar programas y servicios que garanticen de manera prioritaria en todos los hospitales y centros de salud la atención y recuperación integral de la salud física y mental gratuita a favor de las mujeres víctimas de violencia, lo que incluyen exámenes, hospitalización, medicamentos, tratamiento psicológico o psiquiátrico y cualquier otra actividad necesaria para el restablecimiento de la salud, en concordancia con el art. 26 de la Ley Orgánica Integral para Prevenir la Violencia contra las Mujeres.</w:t>
      </w:r>
    </w:p>
    <w:p w14:paraId="0BC3682F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7. Crear incentivos para los profesionales en el área de salud, en función de las condiciones específicas en las que prestarán su servicio, a fin de garantizar la cobertura a todas las poblaciones amazónicas.</w:t>
      </w:r>
    </w:p>
    <w:p w14:paraId="6280795C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 xml:space="preserve">8. </w:t>
      </w:r>
      <w:r w:rsidRPr="001D6F4D">
        <w:rPr>
          <w:rFonts w:ascii="Times New Roman" w:hAnsi="Times New Roman" w:cs="Times New Roman"/>
          <w:i/>
          <w:iCs/>
          <w:u w:val="single"/>
          <w:lang w:val="es-ES"/>
        </w:rPr>
        <w:t>Los Gobiernos Autónomos Descentralizados competentes podrán construir y mantener infraestructura y dotar de equipamiento insumos médicos al sistema de la red pública de salud en coordinación con el ente rector de las políticas públicas de salud</w:t>
      </w:r>
      <w:r w:rsidRPr="001D6F4D">
        <w:rPr>
          <w:rFonts w:ascii="Times New Roman" w:hAnsi="Times New Roman" w:cs="Times New Roman"/>
          <w:i/>
          <w:iCs/>
          <w:lang w:val="es-ES"/>
        </w:rPr>
        <w:t>;</w:t>
      </w:r>
      <w:r w:rsidRPr="001D6F4D">
        <w:rPr>
          <w:rFonts w:ascii="Times New Roman" w:hAnsi="Times New Roman" w:cs="Times New Roman"/>
          <w:i/>
          <w:iCs/>
          <w:u w:val="single"/>
          <w:lang w:val="es-ES"/>
        </w:rPr>
        <w:t xml:space="preserve"> </w:t>
      </w:r>
      <w:r w:rsidRPr="001D6F4D">
        <w:rPr>
          <w:rFonts w:ascii="Times New Roman" w:hAnsi="Times New Roman" w:cs="Times New Roman"/>
          <w:i/>
          <w:iCs/>
          <w:lang w:val="es-ES"/>
        </w:rPr>
        <w:t>y por emergencia sanitaria territorial podrá contratar personal ocasional y logística para fortalecer el sistema de salud, priorizando la prevención del embarazo precoz en niñas y adolescentes, la atención a mujeres embarazadas y atención de los sectores más vulnerables y de atención prioritaria en la Amazonía con énfasis en la prevención, tratamiento de enfermedades catastróficas o de alta complejidad en las provincias de la zona de influencia directa de la explotación minera y petrolera</w:t>
      </w:r>
      <w:r w:rsidRPr="001D6F4D">
        <w:rPr>
          <w:rFonts w:ascii="Times New Roman" w:hAnsi="Times New Roman" w:cs="Times New Roman"/>
          <w:lang w:val="es-ES"/>
        </w:rPr>
        <w:t>”. (lo subrayado me corresponde)</w:t>
      </w:r>
    </w:p>
    <w:p w14:paraId="75BCB7A7" w14:textId="77777777" w:rsidR="00AC4745" w:rsidRPr="001D6F4D" w:rsidRDefault="00AC4745" w:rsidP="001D6F4D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63DE7DD3" w14:textId="636D4400" w:rsidR="00AC4745" w:rsidRPr="001D6F4D" w:rsidRDefault="00AC4745" w:rsidP="001D6F4D">
      <w:pPr>
        <w:spacing w:line="276" w:lineRule="auto"/>
        <w:ind w:left="360"/>
        <w:jc w:val="both"/>
        <w:rPr>
          <w:rFonts w:ascii="Times New Roman" w:hAnsi="Times New Roman" w:cs="Times New Roman"/>
          <w:lang w:val="es-ES"/>
        </w:rPr>
      </w:pPr>
      <w:r w:rsidRPr="001D6F4D">
        <w:rPr>
          <w:rFonts w:ascii="Times New Roman" w:hAnsi="Times New Roman" w:cs="Times New Roman"/>
          <w:lang w:val="es-ES"/>
        </w:rPr>
        <w:lastRenderedPageBreak/>
        <w:t xml:space="preserve">En este texto es necesario destacar al numeral 8, el cual inicialmente ratifica la competencia que tienen los Gobiernos Autónomos Descentralizados (GAD) municipales y metropolitanos para construir y mantener infraestructura y los equipamientos de salud, en concordancia con </w:t>
      </w:r>
      <w:r w:rsidR="00AF4E21" w:rsidRPr="001D6F4D">
        <w:rPr>
          <w:rFonts w:ascii="Times New Roman" w:hAnsi="Times New Roman" w:cs="Times New Roman"/>
          <w:lang w:val="es-ES"/>
        </w:rPr>
        <w:t>el artículo</w:t>
      </w:r>
      <w:r w:rsidRPr="001D6F4D">
        <w:rPr>
          <w:rFonts w:ascii="Times New Roman" w:hAnsi="Times New Roman" w:cs="Times New Roman"/>
          <w:lang w:val="es-ES"/>
        </w:rPr>
        <w:t xml:space="preserve"> 138 del Código Orgánico de Organización Territorial, Autonomía y Descentralización (COOTAD); pero, adicionalmente agrega la posibilidad de “</w:t>
      </w:r>
      <w:r w:rsidRPr="001D6F4D">
        <w:rPr>
          <w:rFonts w:ascii="Times New Roman" w:hAnsi="Times New Roman" w:cs="Times New Roman"/>
          <w:i/>
          <w:iCs/>
          <w:lang w:val="es-ES"/>
        </w:rPr>
        <w:t>contratar personal</w:t>
      </w:r>
      <w:r w:rsidRPr="001D6F4D">
        <w:rPr>
          <w:rFonts w:ascii="Times New Roman" w:hAnsi="Times New Roman" w:cs="Times New Roman"/>
          <w:lang w:val="es-ES"/>
        </w:rPr>
        <w:t>” cuando hubiere una emergencia sanitaria territorial, con condiciones adicionales.</w:t>
      </w:r>
    </w:p>
    <w:p w14:paraId="59527A0B" w14:textId="77777777" w:rsidR="003A7F1E" w:rsidRPr="001D6F4D" w:rsidRDefault="003A7F1E" w:rsidP="001D6F4D">
      <w:pPr>
        <w:spacing w:line="276" w:lineRule="auto"/>
        <w:ind w:left="360"/>
        <w:jc w:val="both"/>
        <w:rPr>
          <w:rFonts w:ascii="Times New Roman" w:hAnsi="Times New Roman" w:cs="Times New Roman"/>
          <w:lang w:val="es-ES"/>
        </w:rPr>
      </w:pPr>
    </w:p>
    <w:p w14:paraId="698DE0BD" w14:textId="46F2A2E1" w:rsidR="00AC4745" w:rsidRPr="001D6F4D" w:rsidRDefault="00AC4745" w:rsidP="001D6F4D">
      <w:pPr>
        <w:spacing w:line="276" w:lineRule="auto"/>
        <w:ind w:left="360"/>
        <w:jc w:val="both"/>
        <w:rPr>
          <w:rFonts w:ascii="Times New Roman" w:hAnsi="Times New Roman" w:cs="Times New Roman"/>
          <w:lang w:val="es-ES"/>
        </w:rPr>
      </w:pPr>
      <w:r w:rsidRPr="001D6F4D">
        <w:rPr>
          <w:rFonts w:ascii="Times New Roman" w:hAnsi="Times New Roman" w:cs="Times New Roman"/>
          <w:lang w:val="es-ES"/>
        </w:rPr>
        <w:t>Esto pese a que la salud es una competencia exclusiva del Estado Central (Art. 261.6 Constitución).</w:t>
      </w:r>
      <w:r w:rsidR="00AF4E21" w:rsidRPr="001D6F4D">
        <w:rPr>
          <w:rFonts w:ascii="Times New Roman" w:hAnsi="Times New Roman" w:cs="Times New Roman"/>
          <w:lang w:val="es-ES"/>
        </w:rPr>
        <w:t xml:space="preserve"> En tal virtud, esta disposición debería revisarse y replantearse su redacción a fin de evitar </w:t>
      </w:r>
      <w:r w:rsidR="001F1803" w:rsidRPr="001D6F4D">
        <w:rPr>
          <w:rFonts w:ascii="Times New Roman" w:hAnsi="Times New Roman" w:cs="Times New Roman"/>
          <w:lang w:val="es-ES"/>
        </w:rPr>
        <w:t>un conflicto de competencias y que exista la posibilidad de que se interprete que los GAD tienen responsabilidad directa en el sistema de salud pública.</w:t>
      </w:r>
    </w:p>
    <w:p w14:paraId="02F3B1BE" w14:textId="77777777" w:rsidR="00AC4745" w:rsidRPr="001D6F4D" w:rsidRDefault="00AC4745" w:rsidP="001D6F4D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59F67BE5" w14:textId="0E051BE3" w:rsidR="00AC4745" w:rsidRPr="001D6F4D" w:rsidRDefault="00AC4745" w:rsidP="001D6F4D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>La reforma pretende sustituir al actual artículo 61 LOPICTEA que regula la “</w:t>
      </w:r>
      <w:r w:rsidRPr="001D6F4D">
        <w:rPr>
          <w:rFonts w:ascii="Times New Roman" w:hAnsi="Times New Roman" w:cs="Times New Roman"/>
          <w:i/>
          <w:iCs/>
          <w:sz w:val="24"/>
          <w:szCs w:val="24"/>
          <w:lang w:val="es-ES"/>
        </w:rPr>
        <w:t>Distribución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>” de los Recursos provenientes del Fondo para el Desarrollo Sostenible Amazónico, por el siguiente texto:</w:t>
      </w:r>
    </w:p>
    <w:p w14:paraId="5FFBF109" w14:textId="77777777" w:rsidR="00AC4745" w:rsidRPr="001D6F4D" w:rsidRDefault="00AC4745" w:rsidP="001D6F4D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F5AC5E0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lang w:val="es-ES"/>
        </w:rPr>
        <w:t>“</w:t>
      </w:r>
      <w:r w:rsidRPr="001D6F4D">
        <w:rPr>
          <w:rFonts w:ascii="Times New Roman" w:hAnsi="Times New Roman" w:cs="Times New Roman"/>
          <w:i/>
          <w:iCs/>
          <w:sz w:val="24"/>
          <w:szCs w:val="24"/>
        </w:rPr>
        <w:t>Art. 60</w:t>
      </w:r>
      <w:r w:rsidRPr="001D6F4D">
        <w:rPr>
          <w:rStyle w:val="Refdenotaalpi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1D6F4D">
        <w:rPr>
          <w:rFonts w:ascii="Times New Roman" w:hAnsi="Times New Roman" w:cs="Times New Roman"/>
          <w:i/>
          <w:iCs/>
          <w:sz w:val="24"/>
          <w:szCs w:val="24"/>
        </w:rPr>
        <w:t xml:space="preserve">.- </w:t>
      </w:r>
      <w:proofErr w:type="gramStart"/>
      <w:r w:rsidRPr="001D6F4D">
        <w:rPr>
          <w:rFonts w:ascii="Times New Roman" w:hAnsi="Times New Roman" w:cs="Times New Roman"/>
          <w:i/>
          <w:iCs/>
          <w:sz w:val="24"/>
          <w:szCs w:val="24"/>
        </w:rPr>
        <w:t>Distribución.-</w:t>
      </w:r>
      <w:proofErr w:type="gramEnd"/>
      <w:r w:rsidRPr="001D6F4D">
        <w:rPr>
          <w:rFonts w:ascii="Times New Roman" w:hAnsi="Times New Roman" w:cs="Times New Roman"/>
          <w:i/>
          <w:iCs/>
          <w:sz w:val="24"/>
          <w:szCs w:val="24"/>
        </w:rPr>
        <w:t xml:space="preserve"> El Banco Central del Ecuador, procederá a informar al Ministerio de Finanzas el monto por distribuir en cada período, a fin de que dentro de los primeros diez (10) días de cada mes y sin necesidad de orden previa, el Banco transfiera directamente los recursos de este fondo a los siguientes beneficiarios, en los porcentajes que constan a continuación:</w:t>
      </w:r>
    </w:p>
    <w:p w14:paraId="386619E3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FBE871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a) El veinte y seis por ciento (26 %) para los Gobiernos Autónomos Descentralizados provinciales amazónicos. </w:t>
      </w:r>
    </w:p>
    <w:p w14:paraId="3E10FBC3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730F9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b) El cincuenta y cinco por ciento (55 %) para los Gobiernos Autónomos Descentralizados municipales amazónicos. </w:t>
      </w:r>
    </w:p>
    <w:p w14:paraId="3F3E7EB9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056DF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</w:rPr>
        <w:t xml:space="preserve">c) El diez por ciento (10 %) para los Gobiernos Autónomos Descentralizados parroquiales rurales amazónicos. </w:t>
      </w:r>
    </w:p>
    <w:p w14:paraId="4B6196C8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E25477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d) El uno por ciento (1 %) para la gestión administrativa y operativa de la Secretaría Técnica de la Circunscripción Territorial Especial Amazónica. </w:t>
      </w:r>
    </w:p>
    <w:p w14:paraId="7ACF42F3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486FDE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e) El tres por ciento (3 %) para la creación de universidades y escuelas politécnicas públicas de las provincias de Sucumbíos, Orellana, Morona Santiago y Zamora Chinchipe, conforme con los requerimientos de profesionalización del talento humano, identificados y a los lineamientos de política pública que establezca el órgano rector de la educación superior, para la cual el ente rector de finanzas públicas creará las subcuentas respectivas. </w:t>
      </w:r>
    </w:p>
    <w:p w14:paraId="01F880C7" w14:textId="11E2A135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La asignación será directa y distribuida en partes iguales en las subcuentas de cada uno de los proyectos de creación de universidades o escuelas politécnicas públicas que serán formulados y administrados por la Universidad Estatal Amazónica en las provincias de Sucumbíos y Zamora Chinchipe y de la Escuela Superior Politécnica de Chimborazo en las provincias de Orellana y Morona Santiago. Las instituciones designadas y las Comisiones Gestoras elaborarán un plan anual de inversiones con programación fiscal plurianual, cuya aprobación, seguimiento y evaluación estará a cargo de la Secretaría Técnica de la Circunscripción Territorial Amazónica y la </w:t>
      </w:r>
      <w:proofErr w:type="gramStart"/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>Secretaria</w:t>
      </w:r>
      <w:proofErr w:type="gramEnd"/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Educación Superior Ciencia y Tecnología en el ámbito de sus competencias.</w:t>
      </w:r>
    </w:p>
    <w:p w14:paraId="3570FFC7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Este porcentaje se distribuirá de manera improrrogable durante 5 años, luego de lo cual será incrementado automáticamente al inicio del ejercicio fiscal respectivo para los beneficiarios del literal c) del presente artículo. </w:t>
      </w:r>
    </w:p>
    <w:p w14:paraId="4B113296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CE854C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f) El cinco por ciento (5 %) para el fortalecimiento de la Universidad Regional Amazónica IKIAM, y de las sedes y extensiones de la Universidad Estatal Amazónica en las provincias de Sucumbíos y Zamora Chinchipe y de la Escuela Superior Politécnica del Chimborazo en las provincias de Orellana y Morona Santiago. </w:t>
      </w:r>
    </w:p>
    <w:p w14:paraId="26DCA886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La asignación será directa y distribuida en partes iguales en las cuentas de la Universidad Regional Amazónica IKIAM, Universidad Estatal Amazónica y las subcuentas de los proyectos de creación de las universidades de las provincias de Sucumbíos, Orellana, Morona Santiago y Zamora Chinchipe, recursos que se invertirán para estas universidades para el funcionamiento de </w:t>
      </w:r>
      <w:proofErr w:type="gramStart"/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>las mismas</w:t>
      </w:r>
      <w:proofErr w:type="gramEnd"/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Las instituciones designadas y las Comisiones Gestoras elaborarán un plan anual de inversiones con programación fiscal plurianual, cuya aprobación, seguimiento y evaluación estará a cargo de la </w:t>
      </w:r>
      <w:proofErr w:type="gramStart"/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>Secretaria Técnica</w:t>
      </w:r>
      <w:proofErr w:type="gramEnd"/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 la Circunscripción Territorial </w:t>
      </w: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Amazónica y la Secretaria de Educación Superior Ciencia y Tecnología en el ámbito de sus competencias.</w:t>
      </w:r>
    </w:p>
    <w:p w14:paraId="7A39F684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Estos recursos comprenderán rubros independientes de los asignados a través del Fondo Permanente de Desarrollo Universitario y Politécnico, FOPEDEUPO. </w:t>
      </w:r>
    </w:p>
    <w:p w14:paraId="1CB31DFE" w14:textId="77777777" w:rsidR="00AC4745" w:rsidRPr="001D6F4D" w:rsidRDefault="00AC4745" w:rsidP="001D6F4D">
      <w:pPr>
        <w:pStyle w:val="Sinespaciado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6F4D">
        <w:rPr>
          <w:rFonts w:ascii="Times New Roman" w:hAnsi="Times New Roman" w:cs="Times New Roman"/>
          <w:i/>
          <w:iCs/>
          <w:sz w:val="24"/>
          <w:szCs w:val="24"/>
          <w:u w:val="single"/>
        </w:rPr>
        <w:t>Este porcentaje se distribuirá de manera improrrogable de 5 años, luego de lo cual este porcentaje será incrementado automáticamente al inicio del ejercicio fiscal respectivo para los beneficiarios del literal a) (2%); y, literal b) (3%) del presente artículo</w:t>
      </w:r>
      <w:r w:rsidRPr="001D6F4D">
        <w:rPr>
          <w:rFonts w:ascii="Times New Roman" w:hAnsi="Times New Roman" w:cs="Times New Roman"/>
          <w:i/>
          <w:iCs/>
          <w:sz w:val="24"/>
          <w:szCs w:val="24"/>
        </w:rPr>
        <w:t xml:space="preserve">”. </w:t>
      </w:r>
      <w:r w:rsidRPr="001D6F4D">
        <w:rPr>
          <w:rFonts w:ascii="Times New Roman" w:hAnsi="Times New Roman" w:cs="Times New Roman"/>
          <w:sz w:val="24"/>
          <w:szCs w:val="24"/>
        </w:rPr>
        <w:t>(lo subrayado me corresponde)</w:t>
      </w:r>
    </w:p>
    <w:p w14:paraId="1E924C74" w14:textId="77777777" w:rsidR="00AC4745" w:rsidRPr="001D6F4D" w:rsidRDefault="00AC4745" w:rsidP="001D6F4D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D8BB3F0" w14:textId="1D31FF3B" w:rsidR="00AC4745" w:rsidRPr="001D6F4D" w:rsidRDefault="00AC4745" w:rsidP="001D6F4D">
      <w:pPr>
        <w:pStyle w:val="Sinespaciado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Los literales a y b del artículo 60 de la reforma plantean una reducción en los porcentajes correspondientes a los GAD </w:t>
      </w:r>
      <w:r w:rsidR="009F3CF4" w:rsidRPr="001D6F4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mazónicos </w:t>
      </w:r>
      <w:r w:rsidR="009F3CF4" w:rsidRPr="001D6F4D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rovinciales y </w:t>
      </w:r>
      <w:r w:rsidR="009F3CF4" w:rsidRPr="001D6F4D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>unicipales</w:t>
      </w:r>
      <w:r w:rsidR="009F3CF4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de la siguiente manera: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382E810" w14:textId="77777777" w:rsidR="00AC4745" w:rsidRPr="001D6F4D" w:rsidRDefault="00AC4745" w:rsidP="001D6F4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>A los GAD amazónicos provinciales se les reduce 2 puntos porcentuales, pasando de 28% (LOPICTEA vigente) al 26% de los recursos provenientes del Fondo para el Desarrollo Sostenible Amazónico.</w:t>
      </w:r>
    </w:p>
    <w:p w14:paraId="700D7A9D" w14:textId="77777777" w:rsidR="00AC4745" w:rsidRPr="001D6F4D" w:rsidRDefault="00AC4745" w:rsidP="001D6F4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>A los GAD amazónicos municipales se les reduce 3 puntos porcentuales, pasando del 58% (LOPICTEA vigente) al 55% de los recursos provenientes del Fondo para el Desarrollo Sostenible Amazónico.</w:t>
      </w:r>
    </w:p>
    <w:p w14:paraId="5025B9D8" w14:textId="77777777" w:rsidR="00AC4745" w:rsidRPr="001D6F4D" w:rsidRDefault="00AC4745" w:rsidP="001D6F4D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52576105" w14:textId="77777777" w:rsidR="00AC4745" w:rsidRPr="001D6F4D" w:rsidRDefault="00AC4745" w:rsidP="001D6F4D">
      <w:pPr>
        <w:spacing w:line="276" w:lineRule="auto"/>
        <w:ind w:left="644"/>
        <w:jc w:val="both"/>
        <w:rPr>
          <w:rFonts w:ascii="Times New Roman" w:hAnsi="Times New Roman" w:cs="Times New Roman"/>
          <w:lang w:val="es-ES"/>
        </w:rPr>
      </w:pPr>
      <w:r w:rsidRPr="001D6F4D">
        <w:rPr>
          <w:rFonts w:ascii="Times New Roman" w:hAnsi="Times New Roman" w:cs="Times New Roman"/>
          <w:lang w:val="es-ES"/>
        </w:rPr>
        <w:t>Esta reducción planteada por la reforma no considera lo previsto en el literal e) del artículo 6 del COOTAD “</w:t>
      </w:r>
      <w:r w:rsidRPr="001D6F4D">
        <w:rPr>
          <w:rFonts w:ascii="Times New Roman" w:hAnsi="Times New Roman" w:cs="Times New Roman"/>
          <w:i/>
          <w:iCs/>
          <w:lang w:val="es-ES"/>
        </w:rPr>
        <w:t>Garantía de Autonomía</w:t>
      </w:r>
      <w:r w:rsidRPr="001D6F4D">
        <w:rPr>
          <w:rFonts w:ascii="Times New Roman" w:hAnsi="Times New Roman" w:cs="Times New Roman"/>
          <w:lang w:val="es-ES"/>
        </w:rPr>
        <w:t>”, que dispone que ninguna función del Estado ni autoridad extraña podrá interferir en la autonomía política, administrativa y financiera propia de los gobiernos autónomos descentralizados y prohíbe de manera expresa “</w:t>
      </w:r>
      <w:r w:rsidRPr="001D6F4D">
        <w:rPr>
          <w:rFonts w:ascii="Times New Roman" w:hAnsi="Times New Roman" w:cs="Times New Roman"/>
          <w:i/>
          <w:iCs/>
          <w:u w:val="single"/>
          <w:lang w:val="es-ES"/>
        </w:rPr>
        <w:t>Derogar impuestos. establecer exenciones, exoneraciones, participaciones o rebajas de los ingresos tributarios y no tributarios propios de los gobiernos autónomos descentralizados, sin resarcir con otra renta equivalente en su cuantía</w:t>
      </w:r>
      <w:r w:rsidRPr="001D6F4D">
        <w:rPr>
          <w:rFonts w:ascii="Times New Roman" w:hAnsi="Times New Roman" w:cs="Times New Roman"/>
          <w:lang w:val="es-ES"/>
        </w:rPr>
        <w:t>”. (lo subrayado me corresponde)</w:t>
      </w:r>
    </w:p>
    <w:p w14:paraId="7E2F64B2" w14:textId="77777777" w:rsidR="00AC4745" w:rsidRPr="001D6F4D" w:rsidRDefault="00AC4745" w:rsidP="001D6F4D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D31D694" w14:textId="2ACFF820" w:rsidR="00AC4745" w:rsidRPr="001D6F4D" w:rsidRDefault="00AC4745" w:rsidP="001D6F4D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Los literales e y f del artículo 60 de la reforma plantean que se asigne el 3% de recursos del Fondo para el Desarrollo Sostenible Amazónico para la creación de universidades en las provincias de Sucumbíos, Orellana, Morona Santiago y Zamora Chinchipe; y, 5% de los recursos del Fondo para el Desarrollo Sostenible Amazónico para el fortalecimiento de la Universidad Regional Amazónica IKIAM y de las sedes y extensiones de la Universidad Estatal Amazónica, pese a que la educación es una competencia exclusiva del Estado Central (Art. 261.6 Constitución); por ello, es responsabilidad del Estado Central proveer los medios y recursos para las instituciones 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lastRenderedPageBreak/>
        <w:t>públicas que conforman el Sistema de Educación Superior (Art. 11 Ley Orgánica de Educación Superior).</w:t>
      </w:r>
    </w:p>
    <w:p w14:paraId="5AA2887D" w14:textId="77777777" w:rsidR="00AC4745" w:rsidRPr="001D6F4D" w:rsidRDefault="00AC4745" w:rsidP="001D6F4D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7C01DCD4" w14:textId="4289E580" w:rsidR="00AC4745" w:rsidRPr="001D6F4D" w:rsidRDefault="00AC4745" w:rsidP="001D6F4D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>Adicional y complementariamente es pertinente destacar que el Fondo para el Desarrollo Sostenible Amazónico se compone de los recursos provenientes de la comercialización del petróleo; y, dichos ingresos son considerados como “no permanentes”; y, los ingresos no permanentes únicamente pueden financiar la educación “de manera excepcional” (Art. 286 Constitución), sin que en la reforma aprobada se pueda evidenciar dicho carácter “excepcional”.</w:t>
      </w:r>
    </w:p>
    <w:p w14:paraId="3088BDFB" w14:textId="77777777" w:rsidR="002E03D4" w:rsidRPr="001D6F4D" w:rsidRDefault="002E03D4" w:rsidP="001D6F4D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A1EF424" w14:textId="4D880A68" w:rsidR="002E03D4" w:rsidRPr="001D6F4D" w:rsidRDefault="00EB1023" w:rsidP="001D6F4D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B87C45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legislador, en esta reforma, no consideró que el 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Fondo de Desarrollo Sostenible existe en virtud del artículo </w:t>
      </w:r>
      <w:r w:rsidR="00AF467C" w:rsidRPr="001D6F4D">
        <w:rPr>
          <w:rFonts w:ascii="Times New Roman" w:hAnsi="Times New Roman" w:cs="Times New Roman"/>
          <w:sz w:val="24"/>
          <w:szCs w:val="24"/>
          <w:lang w:val="es-ES"/>
        </w:rPr>
        <w:t>274 de la Constitución de la República</w:t>
      </w:r>
      <w:r w:rsidR="00AF467C" w:rsidRPr="001D6F4D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2"/>
      </w:r>
      <w:r w:rsidR="00B87C45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que determina que su razón de ser </w:t>
      </w:r>
      <w:r w:rsidR="007345C7" w:rsidRPr="001D6F4D">
        <w:rPr>
          <w:rFonts w:ascii="Times New Roman" w:hAnsi="Times New Roman" w:cs="Times New Roman"/>
          <w:sz w:val="24"/>
          <w:szCs w:val="24"/>
          <w:lang w:val="es-ES"/>
        </w:rPr>
        <w:t>es la participación de los GAD en las rentas que el Estado percibe por la explotación de recursos naturales no renovables. Destinar estos recursos para otr</w:t>
      </w:r>
      <w:r w:rsidR="006B19F7" w:rsidRPr="001D6F4D">
        <w:rPr>
          <w:rFonts w:ascii="Times New Roman" w:hAnsi="Times New Roman" w:cs="Times New Roman"/>
          <w:sz w:val="24"/>
          <w:szCs w:val="24"/>
          <w:lang w:val="es-ES"/>
        </w:rPr>
        <w:t>a finalidad</w:t>
      </w:r>
      <w:r w:rsidR="007345C7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que no sea el financiamiento de los GAD, convierte a esta reforma en inconstitucional.</w:t>
      </w:r>
    </w:p>
    <w:p w14:paraId="127E6D26" w14:textId="77777777" w:rsidR="005919D2" w:rsidRPr="001D6F4D" w:rsidRDefault="005919D2" w:rsidP="001D6F4D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E81B4F6" w14:textId="23D3C07B" w:rsidR="00AC4745" w:rsidRPr="001D6F4D" w:rsidRDefault="00AC4745" w:rsidP="001D6F4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La reforma planta sustituir al actual artículo 64 </w:t>
      </w:r>
      <w:r w:rsidR="006742A8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>LOPICTEA</w:t>
      </w:r>
      <w:r w:rsidR="006742A8" w:rsidRPr="001D6F4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que regula al “</w:t>
      </w:r>
      <w:r w:rsidRPr="001D6F4D">
        <w:rPr>
          <w:rFonts w:ascii="Times New Roman" w:hAnsi="Times New Roman" w:cs="Times New Roman"/>
          <w:i/>
          <w:iCs/>
          <w:sz w:val="24"/>
          <w:szCs w:val="24"/>
          <w:lang w:val="es-ES"/>
        </w:rPr>
        <w:t>Fondo Común para la Circunscripción Territorial Especial Amazónica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>”, por el siguiente texto:</w:t>
      </w:r>
    </w:p>
    <w:p w14:paraId="01083CA1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“Art. 63</w:t>
      </w:r>
      <w:r w:rsidRPr="001D6F4D">
        <w:rPr>
          <w:rStyle w:val="Refdenotaalpie"/>
          <w:rFonts w:ascii="Times New Roman" w:hAnsi="Times New Roman" w:cs="Times New Roman"/>
          <w:i/>
          <w:iCs/>
          <w:lang w:val="es-ES"/>
        </w:rPr>
        <w:footnoteReference w:id="3"/>
      </w:r>
      <w:r w:rsidRPr="001D6F4D">
        <w:rPr>
          <w:rFonts w:ascii="Times New Roman" w:hAnsi="Times New Roman" w:cs="Times New Roman"/>
          <w:i/>
          <w:iCs/>
          <w:lang w:val="es-ES"/>
        </w:rPr>
        <w:t xml:space="preserve">.- Fondo </w:t>
      </w:r>
      <w:proofErr w:type="gramStart"/>
      <w:r w:rsidRPr="001D6F4D">
        <w:rPr>
          <w:rFonts w:ascii="Times New Roman" w:hAnsi="Times New Roman" w:cs="Times New Roman"/>
          <w:i/>
          <w:iCs/>
          <w:lang w:val="es-ES"/>
        </w:rPr>
        <w:t>Común.-</w:t>
      </w:r>
      <w:proofErr w:type="gramEnd"/>
      <w:r w:rsidRPr="001D6F4D">
        <w:rPr>
          <w:rFonts w:ascii="Times New Roman" w:hAnsi="Times New Roman" w:cs="Times New Roman"/>
          <w:i/>
          <w:iCs/>
          <w:lang w:val="es-ES"/>
        </w:rPr>
        <w:t xml:space="preserve"> Además del Fondo para el Desarrollo Integral Amazónico establecidos en la presente Ley, se crea el Fondo Común, que se financiará con las siguientes asignaciones:</w:t>
      </w:r>
    </w:p>
    <w:p w14:paraId="340A9853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1. El 60% de regalías incluidas las que podrían pagarse anticipadamente, el 3% de venta en contratos de prestación de servicios, y el 12 % y 5% de utilidades mineras generadas en la Circunscripción Territorial Especial Amazónica, de conformidad con lo establecido en la Ley de Minería;</w:t>
      </w:r>
    </w:p>
    <w:p w14:paraId="15826599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 xml:space="preserve">2. Sector Hidroeléctrico: El 30 % del superávit que obtengan las empresas públicas generadoras de electricidad en fase de operación, el 12 % de utilidades y excedentes de generadoras de electricidad realizadas por capital privado y de economía mixta, </w:t>
      </w:r>
      <w:r w:rsidRPr="001D6F4D">
        <w:rPr>
          <w:rFonts w:ascii="Times New Roman" w:hAnsi="Times New Roman" w:cs="Times New Roman"/>
          <w:i/>
          <w:iCs/>
          <w:lang w:val="es-ES"/>
        </w:rPr>
        <w:lastRenderedPageBreak/>
        <w:t>generadas en la Circunscripción Territorial Especial Amazónica, de conformidad con la Ley de Servicio Público de Energía Eléctrica.</w:t>
      </w:r>
    </w:p>
    <w:p w14:paraId="46805B76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 xml:space="preserve">3. Sector </w:t>
      </w:r>
      <w:proofErr w:type="spellStart"/>
      <w:r w:rsidRPr="001D6F4D">
        <w:rPr>
          <w:rFonts w:ascii="Times New Roman" w:hAnsi="Times New Roman" w:cs="Times New Roman"/>
          <w:i/>
          <w:iCs/>
          <w:lang w:val="es-ES"/>
        </w:rPr>
        <w:t>Hidrocarburífero</w:t>
      </w:r>
      <w:proofErr w:type="spellEnd"/>
      <w:r w:rsidRPr="001D6F4D">
        <w:rPr>
          <w:rFonts w:ascii="Times New Roman" w:hAnsi="Times New Roman" w:cs="Times New Roman"/>
          <w:i/>
          <w:iCs/>
          <w:lang w:val="es-ES"/>
        </w:rPr>
        <w:t xml:space="preserve">: El 12 % de las utilidades de las actividades </w:t>
      </w:r>
      <w:proofErr w:type="spellStart"/>
      <w:r w:rsidRPr="001D6F4D">
        <w:rPr>
          <w:rFonts w:ascii="Times New Roman" w:hAnsi="Times New Roman" w:cs="Times New Roman"/>
          <w:i/>
          <w:iCs/>
          <w:lang w:val="es-ES"/>
        </w:rPr>
        <w:t>hidrocarburíferas</w:t>
      </w:r>
      <w:proofErr w:type="spellEnd"/>
      <w:r w:rsidRPr="001D6F4D">
        <w:rPr>
          <w:rFonts w:ascii="Times New Roman" w:hAnsi="Times New Roman" w:cs="Times New Roman"/>
          <w:i/>
          <w:iCs/>
          <w:lang w:val="es-ES"/>
        </w:rPr>
        <w:t xml:space="preserve"> desarrolladas por las empresas privadas y el 12 % del superávit o excedentes de los ingresos sobre los gastos que genera la Empresa Nacional de Hidrocarburos (Petroecuador EP).</w:t>
      </w:r>
    </w:p>
    <w:p w14:paraId="45419AE4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u w:val="single"/>
          <w:lang w:val="es-ES"/>
        </w:rPr>
      </w:pPr>
      <w:r w:rsidRPr="001D6F4D">
        <w:rPr>
          <w:rFonts w:ascii="Times New Roman" w:hAnsi="Times New Roman" w:cs="Times New Roman"/>
          <w:i/>
          <w:iCs/>
          <w:u w:val="single"/>
          <w:lang w:val="es-ES"/>
        </w:rPr>
        <w:t>4. Sectores Estratégicos: El 12 % de excedentes o superávit que generan las empresas públicas operadoras de los sectores estratégicos en la Circunscripción Territorial Especial Amazónica; previo a que ingresen a ser parte del Presupuesto General del Estado.</w:t>
      </w:r>
    </w:p>
    <w:p w14:paraId="00DFF6E5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5. Los recursos que la Secretaría Técnica gestione.</w:t>
      </w:r>
    </w:p>
    <w:p w14:paraId="2B0F6F68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6. Las demás asignaciones que por Ley se establezcan en beneficio del fondo.</w:t>
      </w:r>
    </w:p>
    <w:p w14:paraId="0A31B5D0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Los montos señalados en los numerales 1, 2 y 3 corresponderán a las actividades generadas en la Circunscripción.</w:t>
      </w:r>
    </w:p>
    <w:p w14:paraId="3018A10D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>Las instituciones o empresas públicas, privadas, mixtas u otras competentes según lo previsto en los numerales 1, 2, 3 y 4 del presente artículo, depositarán obligatoriamente en los plazos previstos por la Ley y sin necesidad de autorización alguna, los recursos económicos en la cuenta especial del Banco Central del Ecuador denominada Fondo Común.</w:t>
      </w:r>
    </w:p>
    <w:p w14:paraId="3BE73F8F" w14:textId="77777777" w:rsidR="00AC4745" w:rsidRPr="001D6F4D" w:rsidRDefault="00AC4745" w:rsidP="001D6F4D">
      <w:pPr>
        <w:spacing w:line="276" w:lineRule="auto"/>
        <w:ind w:left="708"/>
        <w:jc w:val="both"/>
        <w:rPr>
          <w:rFonts w:ascii="Times New Roman" w:hAnsi="Times New Roman" w:cs="Times New Roman"/>
          <w:lang w:val="es-ES"/>
        </w:rPr>
      </w:pPr>
      <w:r w:rsidRPr="001D6F4D">
        <w:rPr>
          <w:rFonts w:ascii="Times New Roman" w:hAnsi="Times New Roman" w:cs="Times New Roman"/>
          <w:i/>
          <w:iCs/>
          <w:lang w:val="es-ES"/>
        </w:rPr>
        <w:t xml:space="preserve">Los excedentes y superávit de las empresas en los sectores estratégicos que deben ir al fondo </w:t>
      </w:r>
      <w:proofErr w:type="gramStart"/>
      <w:r w:rsidRPr="001D6F4D">
        <w:rPr>
          <w:rFonts w:ascii="Times New Roman" w:hAnsi="Times New Roman" w:cs="Times New Roman"/>
          <w:i/>
          <w:iCs/>
          <w:lang w:val="es-ES"/>
        </w:rPr>
        <w:t>común,</w:t>
      </w:r>
      <w:proofErr w:type="gramEnd"/>
      <w:r w:rsidRPr="001D6F4D">
        <w:rPr>
          <w:rFonts w:ascii="Times New Roman" w:hAnsi="Times New Roman" w:cs="Times New Roman"/>
          <w:i/>
          <w:iCs/>
          <w:lang w:val="es-ES"/>
        </w:rPr>
        <w:t xml:space="preserve"> serán liquidados trimestralmente”. </w:t>
      </w:r>
      <w:r w:rsidRPr="001D6F4D">
        <w:rPr>
          <w:rFonts w:ascii="Times New Roman" w:hAnsi="Times New Roman" w:cs="Times New Roman"/>
          <w:lang w:val="es-ES"/>
        </w:rPr>
        <w:t>(Lo subrayado me corresponde)</w:t>
      </w:r>
    </w:p>
    <w:p w14:paraId="462B0C7D" w14:textId="77777777" w:rsidR="00AC4745" w:rsidRPr="001D6F4D" w:rsidRDefault="00AC4745" w:rsidP="001D6F4D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08F7A500" w14:textId="77777777" w:rsidR="00795E70" w:rsidRPr="001D6F4D" w:rsidRDefault="00AC4745" w:rsidP="001D6F4D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>La reforma reduce los ingresos correspondientes a la Circunscripción Territorial Especial Amazónica, conforme se evidencia en el texto subrayado</w:t>
      </w:r>
      <w:r w:rsidR="00795E70" w:rsidRPr="001D6F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95E70" w:rsidRPr="001D6F4D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l numeral 4 del artículo que regula el “Fondo Común” de la reforma establece en un 12% de los excedentes que generan las empresas públicas operadoras de los sectores estratégicos en la Circunscripción Territorial Especial Amazónica, previo a que ingresen a ser parte del Presupuesto General del Estado. </w:t>
      </w:r>
      <w:r w:rsidR="00795E70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>Est</w:t>
      </w:r>
      <w:r w:rsidR="00795E70" w:rsidRPr="001D6F4D">
        <w:rPr>
          <w:rFonts w:ascii="Times New Roman" w:hAnsi="Times New Roman" w:cs="Times New Roman"/>
          <w:sz w:val="24"/>
          <w:szCs w:val="24"/>
          <w:lang w:val="es-ES"/>
        </w:rPr>
        <w:t>o constituye una reducción de recursos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>, pues en la LOPICTEA vigente no se limita dichos ingresos a un porcentaje, sino que la totalidad de los excedentes pasan a conformar el Fondo Común.</w:t>
      </w:r>
    </w:p>
    <w:p w14:paraId="4B7E6EC5" w14:textId="77777777" w:rsidR="00795E70" w:rsidRPr="001D6F4D" w:rsidRDefault="00795E70" w:rsidP="001D6F4D">
      <w:pPr>
        <w:pStyle w:val="Prrafodelista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C8FC848" w14:textId="16C087BA" w:rsidR="00AC4745" w:rsidRPr="001D6F4D" w:rsidRDefault="00AC4745" w:rsidP="001D6F4D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>Adicionalmente, en la reforma también se elimina el 4% del Fondo para el Desarrollo Sostenible Amazónico que se destinaba para el Fondo Común, conforme todavía consta en el literal d) del artículo 61 de la LOPICTEA vigente.</w:t>
      </w:r>
      <w:r w:rsidR="00795E70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Est</w:t>
      </w:r>
      <w:r w:rsidR="00E036F2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a eliminación constituye una afectación directa al financiamiento del Fondo Común y por tal, </w:t>
      </w:r>
      <w:proofErr w:type="gramStart"/>
      <w:r w:rsidR="00E036F2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a los </w:t>
      </w:r>
      <w:r w:rsidR="00E036F2" w:rsidRPr="001D6F4D">
        <w:rPr>
          <w:rFonts w:ascii="Times New Roman" w:hAnsi="Times New Roman" w:cs="Times New Roman"/>
          <w:sz w:val="24"/>
          <w:szCs w:val="24"/>
          <w:lang w:val="es-ES"/>
        </w:rPr>
        <w:lastRenderedPageBreak/>
        <w:t>proyecto</w:t>
      </w:r>
      <w:proofErr w:type="gramEnd"/>
      <w:r w:rsidR="00E036F2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que, en beneficio de la ciudadanía, puedan presentar y emprender los GAD, en aplicación de este fondo.</w:t>
      </w:r>
    </w:p>
    <w:p w14:paraId="53033272" w14:textId="77777777" w:rsidR="00AC4745" w:rsidRPr="001D6F4D" w:rsidRDefault="00AC4745" w:rsidP="001D6F4D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</w:p>
    <w:p w14:paraId="3CB31369" w14:textId="7F49C85D" w:rsidR="00AC4745" w:rsidRPr="001D6F4D" w:rsidRDefault="00AC4745" w:rsidP="001D6F4D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b/>
          <w:bCs/>
          <w:sz w:val="24"/>
          <w:szCs w:val="24"/>
          <w:lang w:val="es-ES"/>
        </w:rPr>
        <w:t>Conclusión</w:t>
      </w:r>
      <w:r w:rsidR="00E52470" w:rsidRPr="001D6F4D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3CFC6E60" w14:textId="77777777" w:rsidR="00AC4745" w:rsidRPr="001D6F4D" w:rsidRDefault="00AC4745" w:rsidP="001D6F4D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CBA120E" w14:textId="4561DAD8" w:rsidR="00AC4745" w:rsidRPr="001D6F4D" w:rsidRDefault="00AC4745" w:rsidP="001D6F4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>La reforma aprobada por la Asamblea Nacional contraviene disposiciones constitucionales y legales, sin perjuicio de su carácter regresivo por disminuir los ingresos de los GAD provinciales y municipales que por mandato constitucional y legal les corresponde.</w:t>
      </w:r>
      <w:r w:rsidR="00E52470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proofErr w:type="gramStart"/>
      <w:r w:rsidRPr="001D6F4D">
        <w:rPr>
          <w:rFonts w:ascii="Times New Roman" w:hAnsi="Times New Roman" w:cs="Times New Roman"/>
          <w:sz w:val="24"/>
          <w:szCs w:val="24"/>
          <w:lang w:val="es-ES"/>
        </w:rPr>
        <w:t>consecuencia</w:t>
      </w:r>
      <w:proofErr w:type="gramEnd"/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con lo expuesto, esta Dirección solicita comedidamente se sirva considerar los argumentos expuestos para </w:t>
      </w:r>
      <w:r w:rsidR="00541425" w:rsidRPr="001D6F4D">
        <w:rPr>
          <w:rFonts w:ascii="Times New Roman" w:hAnsi="Times New Roman" w:cs="Times New Roman"/>
          <w:sz w:val="24"/>
          <w:szCs w:val="24"/>
          <w:lang w:val="es-ES"/>
        </w:rPr>
        <w:t>abonar a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>l análisis técnico jurídico que le corresponde realizar a la Presidencia de la República de conformidad con las disposiciones constantes en los artículos 63 y siguientes de la Ley Orgánica de la Función Legislativa.</w:t>
      </w:r>
    </w:p>
    <w:p w14:paraId="1E850B0B" w14:textId="77777777" w:rsidR="00E52470" w:rsidRPr="001D6F4D" w:rsidRDefault="00E52470" w:rsidP="001D6F4D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8B61B89" w14:textId="60258F3D" w:rsidR="006B18CA" w:rsidRPr="001D6F4D" w:rsidRDefault="006B18CA" w:rsidP="001D6F4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b/>
          <w:bCs/>
          <w:sz w:val="24"/>
          <w:szCs w:val="24"/>
          <w:lang w:val="es-ES"/>
        </w:rPr>
        <w:t>Recomendación:</w:t>
      </w:r>
    </w:p>
    <w:p w14:paraId="3B12C5A2" w14:textId="77777777" w:rsidR="006B18CA" w:rsidRPr="001D6F4D" w:rsidRDefault="006B18CA" w:rsidP="001D6F4D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EFDDA5" w14:textId="61126FD8" w:rsidR="00E52470" w:rsidRPr="001D6F4D" w:rsidRDefault="00E52470" w:rsidP="001D6F4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Por lo antes mencionado y con la finalidad de evitar que la reforma aprobada por el Legislativo incurra en graves inconstitucionalidades, se </w:t>
      </w:r>
      <w:r w:rsidR="006B18CA" w:rsidRPr="001D6F4D">
        <w:rPr>
          <w:rFonts w:ascii="Times New Roman" w:hAnsi="Times New Roman" w:cs="Times New Roman"/>
          <w:sz w:val="24"/>
          <w:szCs w:val="24"/>
          <w:lang w:val="es-ES"/>
        </w:rPr>
        <w:t>recomienda</w:t>
      </w:r>
      <w:r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18CA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ejecutar las acciones pertinentes para </w:t>
      </w:r>
      <w:r w:rsidR="00896481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solicitar una objeción parcial al señor </w:t>
      </w:r>
      <w:proofErr w:type="gramStart"/>
      <w:r w:rsidR="00896481" w:rsidRPr="001D6F4D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896481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de la República, con la finalidad de que se replantee o se desestime las reformas a los artículos 28, </w:t>
      </w:r>
      <w:r w:rsidR="00C345CC">
        <w:rPr>
          <w:rFonts w:ascii="Times New Roman" w:hAnsi="Times New Roman" w:cs="Times New Roman"/>
          <w:sz w:val="24"/>
          <w:szCs w:val="24"/>
          <w:lang w:val="es-ES"/>
        </w:rPr>
        <w:t>61</w:t>
      </w:r>
      <w:r w:rsidR="00896481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y 6</w:t>
      </w:r>
      <w:r w:rsidR="00C345C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96481" w:rsidRPr="001D6F4D">
        <w:rPr>
          <w:rFonts w:ascii="Times New Roman" w:hAnsi="Times New Roman" w:cs="Times New Roman"/>
          <w:sz w:val="24"/>
          <w:szCs w:val="24"/>
          <w:lang w:val="es-ES"/>
        </w:rPr>
        <w:t xml:space="preserve"> de la LOPICTEA</w:t>
      </w:r>
    </w:p>
    <w:p w14:paraId="28859C32" w14:textId="77777777" w:rsidR="00541425" w:rsidRPr="001D6F4D" w:rsidRDefault="00541425" w:rsidP="001D6F4D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3614AF8F" w14:textId="2B905AF5" w:rsidR="00975240" w:rsidRPr="001D6F4D" w:rsidRDefault="00975240" w:rsidP="001D6F4D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D6F4D">
        <w:rPr>
          <w:rFonts w:ascii="Times New Roman" w:hAnsi="Times New Roman" w:cs="Times New Roman"/>
          <w:color w:val="000000"/>
          <w:shd w:val="clear" w:color="auto" w:fill="FFFFFF"/>
        </w:rPr>
        <w:t>Atentamente</w:t>
      </w:r>
    </w:p>
    <w:p w14:paraId="529FD04C" w14:textId="77777777" w:rsidR="00975240" w:rsidRPr="001D6F4D" w:rsidRDefault="00975240" w:rsidP="001D6F4D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806DB29" w14:textId="22F32F1C" w:rsidR="00975240" w:rsidRPr="001D6F4D" w:rsidRDefault="00975240" w:rsidP="001D6F4D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663109F" w14:textId="77777777" w:rsidR="00CC1344" w:rsidRPr="001D6F4D" w:rsidRDefault="00CC1344" w:rsidP="001D6F4D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A128EC9" w14:textId="162E4132" w:rsidR="00975240" w:rsidRPr="00E30D93" w:rsidRDefault="00CC1344" w:rsidP="001D6F4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30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Jaime Salazar</w:t>
      </w:r>
      <w:r w:rsidR="00E30D93" w:rsidRPr="00E30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Tamayo</w:t>
      </w:r>
    </w:p>
    <w:p w14:paraId="7CBA15DF" w14:textId="4F3D9556" w:rsidR="00CC1344" w:rsidRPr="00E30D93" w:rsidRDefault="00CC1344" w:rsidP="001D6F4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30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Director </w:t>
      </w:r>
      <w:r w:rsidR="00E30D93" w:rsidRPr="00E30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de Asesoría </w:t>
      </w:r>
      <w:r w:rsidRPr="00E30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Jurídic</w:t>
      </w:r>
      <w:r w:rsidR="00E30D93" w:rsidRPr="00E30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</w:t>
      </w:r>
    </w:p>
    <w:p w14:paraId="10E367DB" w14:textId="6EC965EC" w:rsidR="001F2963" w:rsidRPr="00E30D93" w:rsidRDefault="00975240" w:rsidP="001D6F4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30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CONSORCIO DE GOBIERNOS AUTÓNOMOS PROVINCIALES DEL ECUADOR</w:t>
      </w:r>
    </w:p>
    <w:sectPr w:rsidR="001F2963" w:rsidRPr="00E30D93" w:rsidSect="00225376">
      <w:headerReference w:type="default" r:id="rId11"/>
      <w:footerReference w:type="default" r:id="rId12"/>
      <w:pgSz w:w="12240" w:h="15840"/>
      <w:pgMar w:top="2410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FC98" w14:textId="77777777" w:rsidR="009850D1" w:rsidRDefault="009850D1" w:rsidP="00CA48D4">
      <w:r>
        <w:separator/>
      </w:r>
    </w:p>
  </w:endnote>
  <w:endnote w:type="continuationSeparator" w:id="0">
    <w:p w14:paraId="41903A6B" w14:textId="77777777" w:rsidR="009850D1" w:rsidRDefault="009850D1" w:rsidP="00CA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3522" w14:textId="5E6B5873" w:rsidR="00CA48D4" w:rsidRDefault="00CA48D4" w:rsidP="00CA48D4">
    <w:pPr>
      <w:pStyle w:val="Piedepgina"/>
      <w:ind w:lef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2D0DFD" wp14:editId="2432D681">
          <wp:simplePos x="0" y="0"/>
          <wp:positionH relativeFrom="column">
            <wp:posOffset>-1080135</wp:posOffset>
          </wp:positionH>
          <wp:positionV relativeFrom="paragraph">
            <wp:posOffset>-606239</wp:posOffset>
          </wp:positionV>
          <wp:extent cx="7758284" cy="1069200"/>
          <wp:effectExtent l="0" t="0" r="190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84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123A" w14:textId="77777777" w:rsidR="009850D1" w:rsidRDefault="009850D1" w:rsidP="00CA48D4">
      <w:r>
        <w:separator/>
      </w:r>
    </w:p>
  </w:footnote>
  <w:footnote w:type="continuationSeparator" w:id="0">
    <w:p w14:paraId="4B97745D" w14:textId="77777777" w:rsidR="009850D1" w:rsidRDefault="009850D1" w:rsidP="00CA48D4">
      <w:r>
        <w:continuationSeparator/>
      </w:r>
    </w:p>
  </w:footnote>
  <w:footnote w:id="1">
    <w:p w14:paraId="31BBAF7B" w14:textId="77777777" w:rsidR="00AC4745" w:rsidRPr="005024C2" w:rsidRDefault="00AC4745" w:rsidP="00AC4745">
      <w:pPr>
        <w:pStyle w:val="Textonotapie"/>
        <w:jc w:val="both"/>
        <w:rPr>
          <w:rFonts w:ascii="Times New Roman" w:hAnsi="Times New Roman" w:cs="Times New Roman"/>
        </w:rPr>
      </w:pPr>
      <w:r w:rsidRPr="005024C2">
        <w:rPr>
          <w:rStyle w:val="Refdenotaalpie"/>
          <w:rFonts w:ascii="Times New Roman" w:hAnsi="Times New Roman" w:cs="Times New Roman"/>
        </w:rPr>
        <w:footnoteRef/>
      </w:r>
      <w:r w:rsidRPr="005024C2">
        <w:rPr>
          <w:rFonts w:ascii="Times New Roman" w:hAnsi="Times New Roman" w:cs="Times New Roman"/>
        </w:rPr>
        <w:t xml:space="preserve"> Dadas las modificaciones introducidas por la reforma, la secuencia numérica se altera y le correspondería el número 60 al artículo que regula la distribución de recursos provenientes del Fondo para el Desarrollo Sostenible Amazónico.</w:t>
      </w:r>
    </w:p>
  </w:footnote>
  <w:footnote w:id="2">
    <w:p w14:paraId="7C065692" w14:textId="3C94D177" w:rsidR="00AF467C" w:rsidRDefault="00AF467C">
      <w:pPr>
        <w:pStyle w:val="Textonotapie"/>
      </w:pPr>
      <w:r>
        <w:rPr>
          <w:rStyle w:val="Refdenotaalpie"/>
        </w:rPr>
        <w:footnoteRef/>
      </w:r>
      <w:r>
        <w:t xml:space="preserve"> Constitución de la República: “</w:t>
      </w:r>
      <w:r w:rsidRPr="00AF467C">
        <w:rPr>
          <w:i/>
          <w:iCs/>
        </w:rPr>
        <w:t>Art. 274.- Los gobiernos autónomos descentralizados en cuyo territorio se exploten o industrialicen recursos naturales no renovables tendrán derecho a participar de las rentas que perciba el Estado por esta actividad, de acuerdo con la ley.</w:t>
      </w:r>
      <w:r>
        <w:t>”</w:t>
      </w:r>
    </w:p>
  </w:footnote>
  <w:footnote w:id="3">
    <w:p w14:paraId="0847C38D" w14:textId="77777777" w:rsidR="00AC4745" w:rsidRDefault="00AC4745" w:rsidP="00AC474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5024C2">
        <w:rPr>
          <w:rFonts w:ascii="Times New Roman" w:hAnsi="Times New Roman" w:cs="Times New Roman"/>
        </w:rPr>
        <w:t>Dadas las modificaciones introducidas por la reforma, la secuencia numérica se altera y le correspondería el número 6</w:t>
      </w:r>
      <w:r>
        <w:rPr>
          <w:rFonts w:ascii="Times New Roman" w:hAnsi="Times New Roman" w:cs="Times New Roman"/>
        </w:rPr>
        <w:t>3</w:t>
      </w:r>
      <w:r w:rsidRPr="005024C2">
        <w:rPr>
          <w:rFonts w:ascii="Times New Roman" w:hAnsi="Times New Roman" w:cs="Times New Roman"/>
        </w:rPr>
        <w:t xml:space="preserve"> al artículo que regula </w:t>
      </w:r>
      <w:r>
        <w:rPr>
          <w:rFonts w:ascii="Times New Roman" w:hAnsi="Times New Roman" w:cs="Times New Roman"/>
        </w:rPr>
        <w:t>el Fondo Común para la Circunscripción Territorial Especial Amazónica</w:t>
      </w:r>
      <w:r w:rsidRPr="005024C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1437" w14:textId="16348485" w:rsidR="00CA48D4" w:rsidRPr="00CA48D4" w:rsidRDefault="00CA48D4" w:rsidP="00CA48D4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CCA261" wp14:editId="5233A1AA">
          <wp:simplePos x="0" y="0"/>
          <wp:positionH relativeFrom="column">
            <wp:posOffset>-1077539</wp:posOffset>
          </wp:positionH>
          <wp:positionV relativeFrom="paragraph">
            <wp:posOffset>-200722</wp:posOffset>
          </wp:positionV>
          <wp:extent cx="7781834" cy="1085653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834" cy="1085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35F"/>
    <w:multiLevelType w:val="hybridMultilevel"/>
    <w:tmpl w:val="D8A6F912"/>
    <w:lvl w:ilvl="0" w:tplc="300A0013">
      <w:start w:val="1"/>
      <w:numFmt w:val="upperRoman"/>
      <w:lvlText w:val="%1."/>
      <w:lvlJc w:val="righ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41C49"/>
    <w:multiLevelType w:val="hybridMultilevel"/>
    <w:tmpl w:val="48F44862"/>
    <w:lvl w:ilvl="0" w:tplc="6EE6D2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31AB8"/>
    <w:multiLevelType w:val="hybridMultilevel"/>
    <w:tmpl w:val="54FA5528"/>
    <w:lvl w:ilvl="0" w:tplc="F2543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A453F"/>
    <w:multiLevelType w:val="hybridMultilevel"/>
    <w:tmpl w:val="9B72FAD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5FDC"/>
    <w:multiLevelType w:val="hybridMultilevel"/>
    <w:tmpl w:val="A492F592"/>
    <w:lvl w:ilvl="0" w:tplc="21F412E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812B4"/>
    <w:multiLevelType w:val="multilevel"/>
    <w:tmpl w:val="0DB68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C2149B4"/>
    <w:multiLevelType w:val="hybridMultilevel"/>
    <w:tmpl w:val="9550C35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91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134176">
    <w:abstractNumId w:val="0"/>
  </w:num>
  <w:num w:numId="3" w16cid:durableId="1056513123">
    <w:abstractNumId w:val="1"/>
  </w:num>
  <w:num w:numId="4" w16cid:durableId="203907828">
    <w:abstractNumId w:val="3"/>
  </w:num>
  <w:num w:numId="5" w16cid:durableId="1697344614">
    <w:abstractNumId w:val="6"/>
  </w:num>
  <w:num w:numId="6" w16cid:durableId="1507869126">
    <w:abstractNumId w:val="2"/>
  </w:num>
  <w:num w:numId="7" w16cid:durableId="1383168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4"/>
    <w:rsid w:val="000077BE"/>
    <w:rsid w:val="00046FF8"/>
    <w:rsid w:val="00072C57"/>
    <w:rsid w:val="000B0D09"/>
    <w:rsid w:val="000C54D4"/>
    <w:rsid w:val="000D2FBA"/>
    <w:rsid w:val="000D5B7D"/>
    <w:rsid w:val="000F0475"/>
    <w:rsid w:val="000F1446"/>
    <w:rsid w:val="000F20FB"/>
    <w:rsid w:val="00106B92"/>
    <w:rsid w:val="0016734D"/>
    <w:rsid w:val="0018411D"/>
    <w:rsid w:val="0018797D"/>
    <w:rsid w:val="00191C6F"/>
    <w:rsid w:val="001A29A0"/>
    <w:rsid w:val="001B5BBF"/>
    <w:rsid w:val="001D6F4D"/>
    <w:rsid w:val="001E6CDE"/>
    <w:rsid w:val="001F1803"/>
    <w:rsid w:val="001F2963"/>
    <w:rsid w:val="001F40F1"/>
    <w:rsid w:val="002221C3"/>
    <w:rsid w:val="00223D1F"/>
    <w:rsid w:val="00225376"/>
    <w:rsid w:val="00262F03"/>
    <w:rsid w:val="00272749"/>
    <w:rsid w:val="002D208A"/>
    <w:rsid w:val="002D44D8"/>
    <w:rsid w:val="002E03D4"/>
    <w:rsid w:val="002E1EF8"/>
    <w:rsid w:val="002F25B4"/>
    <w:rsid w:val="003138E4"/>
    <w:rsid w:val="003277CD"/>
    <w:rsid w:val="003466B8"/>
    <w:rsid w:val="00347D6E"/>
    <w:rsid w:val="003855B0"/>
    <w:rsid w:val="003A7F1E"/>
    <w:rsid w:val="003C17A9"/>
    <w:rsid w:val="003F249B"/>
    <w:rsid w:val="0044339F"/>
    <w:rsid w:val="00470F6F"/>
    <w:rsid w:val="00504273"/>
    <w:rsid w:val="00507D2F"/>
    <w:rsid w:val="00522B45"/>
    <w:rsid w:val="00541425"/>
    <w:rsid w:val="00547B36"/>
    <w:rsid w:val="00556539"/>
    <w:rsid w:val="00567891"/>
    <w:rsid w:val="00573A05"/>
    <w:rsid w:val="005919D2"/>
    <w:rsid w:val="00593074"/>
    <w:rsid w:val="0062662C"/>
    <w:rsid w:val="00641874"/>
    <w:rsid w:val="006454BC"/>
    <w:rsid w:val="00673302"/>
    <w:rsid w:val="006742A8"/>
    <w:rsid w:val="00680EF1"/>
    <w:rsid w:val="00696A5E"/>
    <w:rsid w:val="006B18CA"/>
    <w:rsid w:val="006B19F7"/>
    <w:rsid w:val="006B2EE3"/>
    <w:rsid w:val="006C40FB"/>
    <w:rsid w:val="006D7351"/>
    <w:rsid w:val="007345C7"/>
    <w:rsid w:val="00736AFA"/>
    <w:rsid w:val="007478C7"/>
    <w:rsid w:val="00772222"/>
    <w:rsid w:val="00781FC7"/>
    <w:rsid w:val="007911F9"/>
    <w:rsid w:val="00791FEE"/>
    <w:rsid w:val="00795E70"/>
    <w:rsid w:val="007D4832"/>
    <w:rsid w:val="007F0FFF"/>
    <w:rsid w:val="007F1136"/>
    <w:rsid w:val="00887C9E"/>
    <w:rsid w:val="00896481"/>
    <w:rsid w:val="009172EF"/>
    <w:rsid w:val="00953C4A"/>
    <w:rsid w:val="009545D8"/>
    <w:rsid w:val="009634AB"/>
    <w:rsid w:val="00963F90"/>
    <w:rsid w:val="009708EB"/>
    <w:rsid w:val="00974C9C"/>
    <w:rsid w:val="00975240"/>
    <w:rsid w:val="00984D29"/>
    <w:rsid w:val="009850D1"/>
    <w:rsid w:val="00991589"/>
    <w:rsid w:val="009A1B11"/>
    <w:rsid w:val="009B0295"/>
    <w:rsid w:val="009F3CF4"/>
    <w:rsid w:val="00A36233"/>
    <w:rsid w:val="00A82101"/>
    <w:rsid w:val="00AA7895"/>
    <w:rsid w:val="00AB067F"/>
    <w:rsid w:val="00AC4745"/>
    <w:rsid w:val="00AF3F5C"/>
    <w:rsid w:val="00AF467C"/>
    <w:rsid w:val="00AF4E21"/>
    <w:rsid w:val="00B600C9"/>
    <w:rsid w:val="00B66732"/>
    <w:rsid w:val="00B87C45"/>
    <w:rsid w:val="00BA20FC"/>
    <w:rsid w:val="00BD3E95"/>
    <w:rsid w:val="00BF2732"/>
    <w:rsid w:val="00C24614"/>
    <w:rsid w:val="00C345CC"/>
    <w:rsid w:val="00C5089A"/>
    <w:rsid w:val="00C80425"/>
    <w:rsid w:val="00CA48D4"/>
    <w:rsid w:val="00CB2804"/>
    <w:rsid w:val="00CC1344"/>
    <w:rsid w:val="00CE25F4"/>
    <w:rsid w:val="00D1378B"/>
    <w:rsid w:val="00D62FAE"/>
    <w:rsid w:val="00D90436"/>
    <w:rsid w:val="00D96670"/>
    <w:rsid w:val="00DD6697"/>
    <w:rsid w:val="00E036F2"/>
    <w:rsid w:val="00E30D93"/>
    <w:rsid w:val="00E316BC"/>
    <w:rsid w:val="00E52470"/>
    <w:rsid w:val="00E63140"/>
    <w:rsid w:val="00EA17BD"/>
    <w:rsid w:val="00EB1023"/>
    <w:rsid w:val="00ED112E"/>
    <w:rsid w:val="00ED5971"/>
    <w:rsid w:val="00F1381E"/>
    <w:rsid w:val="00F3449C"/>
    <w:rsid w:val="00F54D44"/>
    <w:rsid w:val="00F935FF"/>
    <w:rsid w:val="00FA4337"/>
    <w:rsid w:val="00FB3552"/>
    <w:rsid w:val="00FB5783"/>
    <w:rsid w:val="00FD236F"/>
    <w:rsid w:val="00FD4165"/>
    <w:rsid w:val="00FD420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1AF9"/>
  <w15:chartTrackingRefBased/>
  <w15:docId w15:val="{B77956D0-CB02-6447-A2F5-B1B0B942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8D4"/>
  </w:style>
  <w:style w:type="paragraph" w:styleId="Piedepgina">
    <w:name w:val="footer"/>
    <w:basedOn w:val="Normal"/>
    <w:link w:val="Piedepgina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8D4"/>
  </w:style>
  <w:style w:type="paragraph" w:customStyle="1" w:styleId="Default">
    <w:name w:val="Default"/>
    <w:uiPriority w:val="99"/>
    <w:rsid w:val="00791FE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Ttulo">
    <w:name w:val="Title"/>
    <w:basedOn w:val="Normal"/>
    <w:link w:val="TtuloCar"/>
    <w:qFormat/>
    <w:rsid w:val="00791FEE"/>
    <w:pPr>
      <w:jc w:val="center"/>
    </w:pPr>
    <w:rPr>
      <w:rFonts w:ascii="Times New Roman" w:eastAsia="Times New Roman" w:hAnsi="Times New Roman" w:cs="Times New Roman"/>
      <w:b/>
      <w:bCs/>
      <w:lang w:val="es-CO" w:eastAsia="es-ES"/>
    </w:rPr>
  </w:style>
  <w:style w:type="character" w:customStyle="1" w:styleId="TtuloCar">
    <w:name w:val="Título Car"/>
    <w:basedOn w:val="Fuentedeprrafopredeter"/>
    <w:link w:val="Ttulo"/>
    <w:rsid w:val="00791FEE"/>
    <w:rPr>
      <w:rFonts w:ascii="Times New Roman" w:eastAsia="Times New Roman" w:hAnsi="Times New Roman" w:cs="Times New Roman"/>
      <w:b/>
      <w:bCs/>
      <w:lang w:val="es-CO" w:eastAsia="es-ES"/>
    </w:rPr>
  </w:style>
  <w:style w:type="paragraph" w:customStyle="1" w:styleId="xmsonormal">
    <w:name w:val="x_msonormal"/>
    <w:basedOn w:val="Normal"/>
    <w:rsid w:val="00791F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21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6D73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7351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04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04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0475"/>
    <w:rPr>
      <w:vertAlign w:val="superscript"/>
    </w:rPr>
  </w:style>
  <w:style w:type="paragraph" w:styleId="Revisin">
    <w:name w:val="Revision"/>
    <w:hidden/>
    <w:uiPriority w:val="99"/>
    <w:semiHidden/>
    <w:rsid w:val="00CB2804"/>
  </w:style>
  <w:style w:type="character" w:styleId="Refdecomentario">
    <w:name w:val="annotation reference"/>
    <w:basedOn w:val="Fuentedeprrafopredeter"/>
    <w:uiPriority w:val="99"/>
    <w:semiHidden/>
    <w:unhideWhenUsed/>
    <w:rsid w:val="00984D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4D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4D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D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D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C47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04f88-3072-44ec-afc0-5ce1c4d6afd3" xsi:nil="true"/>
    <Detalle xmlns="eb6cfc7d-454b-455c-a802-a19b87e65dbf" xsi:nil="true"/>
    <lcf76f155ced4ddcb4097134ff3c332f xmlns="eb6cfc7d-454b-455c-a802-a19b87e65d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8B344890F56B458CCDBA42876B25ED" ma:contentTypeVersion="14" ma:contentTypeDescription="Crear nuevo documento." ma:contentTypeScope="" ma:versionID="90e2615551c4a6b07e950be49766134f">
  <xsd:schema xmlns:xsd="http://www.w3.org/2001/XMLSchema" xmlns:xs="http://www.w3.org/2001/XMLSchema" xmlns:p="http://schemas.microsoft.com/office/2006/metadata/properties" xmlns:ns2="83d04f88-3072-44ec-afc0-5ce1c4d6afd3" xmlns:ns3="eb6cfc7d-454b-455c-a802-a19b87e65dbf" targetNamespace="http://schemas.microsoft.com/office/2006/metadata/properties" ma:root="true" ma:fieldsID="07fc3b707b57c6f96c2eaad5a6f0659d" ns2:_="" ns3:_="">
    <xsd:import namespace="83d04f88-3072-44ec-afc0-5ce1c4d6afd3"/>
    <xsd:import namespace="eb6cfc7d-454b-455c-a802-a19b87e65d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etall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4f88-3072-44ec-afc0-5ce1c4d6a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213407-1a04-4077-8b2b-bc930f9577fd}" ma:internalName="TaxCatchAll" ma:showField="CatchAllData" ma:web="83d04f88-3072-44ec-afc0-5ce1c4d6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cfc7d-454b-455c-a802-a19b87e65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lle" ma:index="14" nillable="true" ma:displayName="Detalle" ma:format="Dropdown" ma:internalName="Detall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8955b43-74cb-4e1d-a3a8-7c2643c9b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4A8C-43BF-41CC-A3C2-7DD8A606043E}">
  <ds:schemaRefs>
    <ds:schemaRef ds:uri="http://schemas.microsoft.com/office/2006/metadata/properties"/>
    <ds:schemaRef ds:uri="http://schemas.microsoft.com/office/infopath/2007/PartnerControls"/>
    <ds:schemaRef ds:uri="83d04f88-3072-44ec-afc0-5ce1c4d6afd3"/>
    <ds:schemaRef ds:uri="eb6cfc7d-454b-455c-a802-a19b87e65dbf"/>
  </ds:schemaRefs>
</ds:datastoreItem>
</file>

<file path=customXml/itemProps2.xml><?xml version="1.0" encoding="utf-8"?>
<ds:datastoreItem xmlns:ds="http://schemas.openxmlformats.org/officeDocument/2006/customXml" ds:itemID="{2FC01E28-9FC1-4745-A88B-A69F007E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4f88-3072-44ec-afc0-5ce1c4d6afd3"/>
    <ds:schemaRef ds:uri="eb6cfc7d-454b-455c-a802-a19b87e65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20C6C-4105-44F6-8297-8EFF18C736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A7088-1494-4B85-A28F-09EC2F4F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2521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</dc:creator>
  <cp:keywords/>
  <dc:description/>
  <cp:lastModifiedBy>Jaime Salazar</cp:lastModifiedBy>
  <cp:revision>27</cp:revision>
  <dcterms:created xsi:type="dcterms:W3CDTF">2023-04-18T22:52:00Z</dcterms:created>
  <dcterms:modified xsi:type="dcterms:W3CDTF">2023-04-18T23:14:00Z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0x010100838B344890F56B458CCDBA42876B25ED</vt:lpwstr>
  </property>
</Properties>
</file>