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D2045" w14:textId="77777777" w:rsidR="00C85C03" w:rsidRDefault="00C85C03">
      <w:pPr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s-ES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s-ES"/>
        </w:rPr>
        <w:t>PROPUESTAS DEL CONGOPE A LEY DE MINERÍA</w:t>
      </w:r>
    </w:p>
    <w:p w14:paraId="3E9BB170" w14:textId="77777777" w:rsidR="00C85C03" w:rsidRDefault="00C85C03">
      <w:pPr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85C03" w14:paraId="5FB8BCFF" w14:textId="77777777" w:rsidTr="00C85C03">
        <w:tc>
          <w:tcPr>
            <w:tcW w:w="4316" w:type="dxa"/>
          </w:tcPr>
          <w:p w14:paraId="75F2DC44" w14:textId="77777777" w:rsidR="00C85C03" w:rsidRDefault="00C85C03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  <w:t>Vigente</w:t>
            </w:r>
          </w:p>
        </w:tc>
        <w:tc>
          <w:tcPr>
            <w:tcW w:w="4317" w:type="dxa"/>
          </w:tcPr>
          <w:p w14:paraId="00F920F5" w14:textId="77777777" w:rsidR="00C85C03" w:rsidRDefault="00C85C03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  <w:t>Propuesta</w:t>
            </w:r>
          </w:p>
        </w:tc>
        <w:tc>
          <w:tcPr>
            <w:tcW w:w="4317" w:type="dxa"/>
          </w:tcPr>
          <w:p w14:paraId="7071FB0B" w14:textId="77777777" w:rsidR="00C85C03" w:rsidRDefault="00C85C03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  <w:t>Justificación</w:t>
            </w:r>
          </w:p>
        </w:tc>
      </w:tr>
      <w:tr w:rsidR="00C85C03" w14:paraId="3989D9FC" w14:textId="77777777" w:rsidTr="00C85C03">
        <w:tc>
          <w:tcPr>
            <w:tcW w:w="4316" w:type="dxa"/>
          </w:tcPr>
          <w:p w14:paraId="4D376C83" w14:textId="77777777" w:rsidR="00C85C03" w:rsidRPr="00C85C03" w:rsidRDefault="00C85C03" w:rsidP="00C85C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C85C03">
              <w:rPr>
                <w:rFonts w:ascii="Arial" w:hAnsi="Arial" w:cs="Arial"/>
                <w:b/>
                <w:bCs/>
                <w:color w:val="C50606"/>
                <w:lang w:val="es-ES"/>
              </w:rPr>
              <w:t>Art. 57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 xml:space="preserve">.- Sanciones a la actividad minera </w:t>
            </w:r>
            <w:proofErr w:type="gramStart"/>
            <w:r w:rsidRPr="00C85C03">
              <w:rPr>
                <w:rFonts w:ascii="Arial" w:hAnsi="Arial" w:cs="Arial"/>
                <w:color w:val="000000"/>
                <w:lang w:val="es-ES"/>
              </w:rPr>
              <w:t>ilegal.-</w:t>
            </w:r>
            <w:proofErr w:type="gramEnd"/>
            <w:r w:rsidRPr="00C85C03">
              <w:rPr>
                <w:rFonts w:ascii="Arial" w:hAnsi="Arial" w:cs="Arial"/>
                <w:color w:val="000000"/>
                <w:lang w:val="es-ES"/>
              </w:rPr>
              <w:t xml:space="preserve"> La actividad minera ilegal ejercida por personas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naturales o jurídicas, o grupos de personas, nacionales o extranjeras, sin contar con los títulos,</w:t>
            </w:r>
          </w:p>
          <w:p w14:paraId="624AAA51" w14:textId="77777777" w:rsidR="00C85C03" w:rsidRPr="00C85C03" w:rsidRDefault="00C85C03" w:rsidP="00C85C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C85C03">
              <w:rPr>
                <w:rFonts w:ascii="Arial" w:hAnsi="Arial" w:cs="Arial"/>
                <w:color w:val="000000"/>
                <w:lang w:val="es-ES"/>
              </w:rPr>
              <w:t>autorizaciones, permisos o licencias, será sancionada conforme las prescripciones de este artículo,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sin perjuicio de las aplicables en los ámbitos ambiental, tributario o penal, a las que hubiere lugar.</w:t>
            </w:r>
          </w:p>
          <w:p w14:paraId="6574BF43" w14:textId="77777777" w:rsidR="00C85C03" w:rsidRPr="00C85C03" w:rsidRDefault="00C85C03" w:rsidP="00C85C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C85C03">
              <w:rPr>
                <w:rFonts w:ascii="Arial" w:hAnsi="Arial" w:cs="Arial"/>
                <w:color w:val="000000"/>
                <w:lang w:val="es-ES"/>
              </w:rPr>
              <w:t>Los bienes, maquinaria, equipos,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insumos y vehículos que sean utilizados en actividades ilegales o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no autorizadas de explotación, beneficio o procesamiento, fundición, refinación y comercialización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clandestina de sustancias minerales, serán objeto de: decomiso especial, incautación, inmovilización,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destrucción, demolición, inutilización o neutralización, según el caso, que ejecute la Agencia de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Regulación y Control Minero contando con la colaboración de la Policía Nacional y subsidiariamente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de las Fuerzas Armadas. Quienes se reputen autores de dichas actividades o propietarios de tales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bienes, serán sancionados por la mencionada Agencia, con multa de doscientas a quinientas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remuneraciones básicas unificadas dependiendo de la gravedad de la infracción, sin perjuicio del</w:t>
            </w:r>
          </w:p>
          <w:p w14:paraId="4ADA6560" w14:textId="77777777" w:rsidR="00C85C03" w:rsidRPr="00C85C03" w:rsidRDefault="00C85C03" w:rsidP="00C85C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C85C03">
              <w:rPr>
                <w:rFonts w:ascii="Arial" w:hAnsi="Arial" w:cs="Arial"/>
                <w:color w:val="000000"/>
                <w:lang w:val="es-ES"/>
              </w:rPr>
              <w:lastRenderedPageBreak/>
              <w:t>pago de un valor equivalente al total de los minerales extraídos ilegalmente, así como de la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obligación de restauración de los ecosistemas e indemnización a las personas y comunidades</w:t>
            </w:r>
          </w:p>
          <w:p w14:paraId="376FED44" w14:textId="77777777" w:rsidR="00C85C03" w:rsidRPr="00C85C03" w:rsidRDefault="00C85C03" w:rsidP="00C85C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C85C03">
              <w:rPr>
                <w:rFonts w:ascii="Arial" w:hAnsi="Arial" w:cs="Arial"/>
                <w:color w:val="000000"/>
                <w:lang w:val="es-ES"/>
              </w:rPr>
              <w:t>afectadas.</w:t>
            </w:r>
          </w:p>
          <w:p w14:paraId="5BEE17ED" w14:textId="77777777" w:rsidR="00C85C03" w:rsidRDefault="00C85C03" w:rsidP="00C85C03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C85C03">
              <w:rPr>
                <w:rFonts w:ascii="Arial" w:hAnsi="Arial" w:cs="Arial"/>
                <w:color w:val="000000"/>
                <w:lang w:val="es-ES"/>
              </w:rPr>
              <w:t>Las multas a las que se refiere la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presente Ley, serán pagadas a la Agencia de Regulación y Control</w:t>
            </w:r>
          </w:p>
        </w:tc>
        <w:tc>
          <w:tcPr>
            <w:tcW w:w="4317" w:type="dxa"/>
          </w:tcPr>
          <w:p w14:paraId="5818D136" w14:textId="77777777" w:rsidR="00C85C03" w:rsidRDefault="00C85C03" w:rsidP="00C85C0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</w:pPr>
            <w:r w:rsidRPr="00D1630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  <w:lastRenderedPageBreak/>
              <w:t xml:space="preserve">Artículo 7.- </w:t>
            </w:r>
            <w:proofErr w:type="spellStart"/>
            <w:r w:rsidRPr="00D1630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  <w:t>Sustitúyese</w:t>
            </w:r>
            <w:proofErr w:type="spellEnd"/>
            <w:r w:rsidRPr="00D1630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  <w:t xml:space="preserve"> el segundo inciso del artículo 57 de la Ley de Minería, por los siguientes: </w:t>
            </w:r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 xml:space="preserve"> Las maquinarías, equipos y vehículos que hayan sido incautados, podrán ser donados o prestados a los Gobiernos Autónomos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 xml:space="preserve"> </w:t>
            </w:r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>Descentralizados que se encuentren dentro del área de influencia directa e indirecta donde se haya desarrollado la actividad minera ilegal, de conformidad al instructivo expedido por el ente rector.</w:t>
            </w:r>
          </w:p>
          <w:p w14:paraId="4B1EF6F5" w14:textId="77777777" w:rsidR="00C85C03" w:rsidRDefault="00C85C03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317" w:type="dxa"/>
          </w:tcPr>
          <w:p w14:paraId="7DF4F5E2" w14:textId="77777777" w:rsidR="00C85C03" w:rsidRDefault="00C85C03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 xml:space="preserve">No existe una prioridad a los </w:t>
            </w:r>
            <w:proofErr w:type="spellStart"/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>GADs</w:t>
            </w:r>
            <w:proofErr w:type="spellEnd"/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 xml:space="preserve"> de zonas rurales la obtención de maquinaria decomisada por parte de los </w:t>
            </w:r>
            <w:proofErr w:type="spellStart"/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>GADs</w:t>
            </w:r>
            <w:proofErr w:type="spellEnd"/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>. Se debe aprovechar estos recursos para descentralizar los recursos no previstos como los obtenidos producto del carácter punitivo del gobierno central y obtenidos en los territorios rurales. Constituye un incentivo para los fines de la regulación en materia minera.</w:t>
            </w:r>
          </w:p>
        </w:tc>
      </w:tr>
      <w:tr w:rsidR="00C85C03" w14:paraId="5F1C4C0B" w14:textId="77777777" w:rsidTr="00C85C03">
        <w:tc>
          <w:tcPr>
            <w:tcW w:w="4316" w:type="dxa"/>
          </w:tcPr>
          <w:p w14:paraId="787C6E30" w14:textId="77777777" w:rsidR="00C85C03" w:rsidRPr="00C85C03" w:rsidRDefault="00C85C03">
            <w:pPr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val="es-ES"/>
              </w:rPr>
              <w:t>Ninguna</w:t>
            </w:r>
          </w:p>
        </w:tc>
        <w:tc>
          <w:tcPr>
            <w:tcW w:w="4317" w:type="dxa"/>
          </w:tcPr>
          <w:p w14:paraId="589C18E1" w14:textId="77777777" w:rsidR="00C85C03" w:rsidRPr="00D16308" w:rsidRDefault="00C85C03" w:rsidP="00C85C03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D1630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  <w:t xml:space="preserve">Agregar una transitoria con el siguiente </w:t>
            </w:r>
            <w:proofErr w:type="gramStart"/>
            <w:r w:rsidRPr="00D1630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  <w:t>texto.-</w:t>
            </w:r>
            <w:proofErr w:type="gramEnd"/>
            <w:r w:rsidRPr="00D1630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>En un plazo de 90 días el ministerio rector expedirá el instructivo en el que permitirá que las entidades que integran el régimen autónomo descentralizado aprovechen los bienes, maquinaria, equipos, insumos y vehículos obtenidos de decomiso especial, incautación, inmovilización, destrucción, demolición, inutilización o neutralización.</w:t>
            </w:r>
          </w:p>
          <w:p w14:paraId="777349E0" w14:textId="77777777" w:rsidR="00C85C03" w:rsidRDefault="00C85C03" w:rsidP="00C85C03">
            <w:pPr>
              <w:rPr>
                <w:lang w:val="es-ES"/>
              </w:rPr>
            </w:pPr>
          </w:p>
          <w:p w14:paraId="1CE603EC" w14:textId="77777777" w:rsidR="00C85C03" w:rsidRDefault="00C85C03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317" w:type="dxa"/>
          </w:tcPr>
          <w:p w14:paraId="3F313DCA" w14:textId="77777777" w:rsidR="00C85C03" w:rsidRPr="00C85C03" w:rsidRDefault="00C85C03">
            <w:pPr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 w:rsidRPr="00C85C03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val="es-ES"/>
              </w:rPr>
              <w:t>Ibídem</w:t>
            </w:r>
            <w:proofErr w:type="spellEnd"/>
            <w:r w:rsidRPr="00C85C03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val="es-ES"/>
              </w:rPr>
              <w:t xml:space="preserve"> y establecer un plazo para esto</w:t>
            </w:r>
          </w:p>
        </w:tc>
      </w:tr>
      <w:tr w:rsidR="00C85C03" w14:paraId="2E7E97E6" w14:textId="77777777" w:rsidTr="00C85C03">
        <w:tc>
          <w:tcPr>
            <w:tcW w:w="4316" w:type="dxa"/>
          </w:tcPr>
          <w:p w14:paraId="5B9E1DC8" w14:textId="77777777" w:rsidR="00C85C03" w:rsidRPr="00C85C03" w:rsidRDefault="00C85C03" w:rsidP="00C85C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C85C03">
              <w:rPr>
                <w:rFonts w:ascii="Arial" w:hAnsi="Arial" w:cs="Arial"/>
                <w:b/>
                <w:bCs/>
                <w:color w:val="C50606"/>
                <w:lang w:val="es-ES"/>
              </w:rPr>
              <w:t>Art. 144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 xml:space="preserve">.- Libre aprovechamiento de materiales de construcción para obras </w:t>
            </w:r>
            <w:proofErr w:type="gramStart"/>
            <w:r w:rsidRPr="00C85C03">
              <w:rPr>
                <w:rFonts w:ascii="Arial" w:hAnsi="Arial" w:cs="Arial"/>
                <w:color w:val="000000"/>
                <w:lang w:val="es-ES"/>
              </w:rPr>
              <w:t>públicas.-</w:t>
            </w:r>
            <w:proofErr w:type="gramEnd"/>
            <w:r w:rsidRPr="00C85C03">
              <w:rPr>
                <w:rFonts w:ascii="Arial" w:hAnsi="Arial" w:cs="Arial"/>
                <w:color w:val="000000"/>
                <w:lang w:val="es-ES"/>
              </w:rPr>
              <w:t xml:space="preserve"> El Estado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directamente o a través de sus contratistas podrá aprovechar libremente los materiales de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construcción para obras públicas en áreas no concesionadas o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c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oncesionadas.</w:t>
            </w:r>
          </w:p>
          <w:p w14:paraId="5BE96F0D" w14:textId="77777777" w:rsidR="00C85C03" w:rsidRPr="00C85C03" w:rsidRDefault="00C85C03" w:rsidP="00C85C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C85C03">
              <w:rPr>
                <w:rFonts w:ascii="Arial" w:hAnsi="Arial" w:cs="Arial"/>
                <w:color w:val="000000"/>
                <w:lang w:val="es-ES"/>
              </w:rPr>
              <w:t>Considerando la finalidad social o pública del libre aprovechamiento, estos serán autorizados por el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Ministerio Sectorial. La vigencia y los volúmenes de explotación se regirán y se extenderán única y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exclusivamente por los requerimientos técnicos de producción y el tiempo que dure la ejecución de la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obra pública.</w:t>
            </w:r>
          </w:p>
          <w:p w14:paraId="2556270E" w14:textId="77777777" w:rsidR="00C85C03" w:rsidRPr="00C85C03" w:rsidRDefault="00C85C03" w:rsidP="00C85C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C85C03">
              <w:rPr>
                <w:rFonts w:ascii="Arial" w:hAnsi="Arial" w:cs="Arial"/>
                <w:color w:val="000000"/>
                <w:lang w:val="es-ES"/>
              </w:rPr>
              <w:t>Dicho material podrá emplearse, única y exclusivamente, en beneficio de la obra pública para la que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se requirió el libre aprovechamiento. El uso para otros fines constituirá explotación ilegal que se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someterá a lo determinado para este efecto en la presente ley.</w:t>
            </w:r>
          </w:p>
          <w:p w14:paraId="75251C0D" w14:textId="77777777" w:rsidR="00C85C03" w:rsidRPr="00C85C03" w:rsidRDefault="00C85C03" w:rsidP="00C85C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C85C03">
              <w:rPr>
                <w:rFonts w:ascii="Arial" w:hAnsi="Arial" w:cs="Arial"/>
                <w:color w:val="000000"/>
                <w:lang w:val="es-ES"/>
              </w:rPr>
              <w:t>El contratista del Estado, no podrá incluir en sus costos los valores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correspondientes a los materiales</w:t>
            </w:r>
          </w:p>
          <w:p w14:paraId="2BB20201" w14:textId="77777777" w:rsidR="00C85C03" w:rsidRPr="00C85C03" w:rsidRDefault="00C85C03" w:rsidP="00C85C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C85C03">
              <w:rPr>
                <w:rFonts w:ascii="Arial" w:hAnsi="Arial" w:cs="Arial"/>
                <w:color w:val="000000"/>
                <w:lang w:val="es-ES"/>
              </w:rPr>
              <w:t>de construcción aprovechados libremente. En caso de comprobarse la explotación de libre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aprovechamiento para otros fines será sancionado con una multa equivalente a 200 remuneraciones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básicas unificadas y en caso de reincidencia con la terminación del contrato para dicha obra pública.</w:t>
            </w:r>
          </w:p>
          <w:p w14:paraId="6703ADC3" w14:textId="77777777" w:rsidR="00C85C03" w:rsidRPr="00C85C03" w:rsidRDefault="00C85C03" w:rsidP="00C85C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"/>
              </w:rPr>
            </w:pPr>
            <w:r w:rsidRPr="00C85C03">
              <w:rPr>
                <w:rFonts w:ascii="Arial" w:hAnsi="Arial" w:cs="Arial"/>
                <w:color w:val="000000"/>
                <w:lang w:val="es-ES"/>
              </w:rPr>
              <w:t>Las autorizaciones de libre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aprovechamiento, están sujetas al cumplimiento de todas las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disposiciones de la presente ley, especialmente las de carácter ambiental.</w:t>
            </w:r>
          </w:p>
          <w:p w14:paraId="132E0409" w14:textId="77777777" w:rsidR="00C85C03" w:rsidRDefault="00C85C03" w:rsidP="00C85C03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C85C03">
              <w:rPr>
                <w:rFonts w:ascii="Arial" w:hAnsi="Arial" w:cs="Arial"/>
                <w:color w:val="000000"/>
                <w:lang w:val="es-ES"/>
              </w:rPr>
              <w:t>Los contratistas que explotaren los libres aprovechamientos, están obligados al cumplimiento del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r w:rsidRPr="00C85C03">
              <w:rPr>
                <w:rFonts w:ascii="Arial" w:hAnsi="Arial" w:cs="Arial"/>
                <w:color w:val="000000"/>
                <w:lang w:val="es-ES"/>
              </w:rPr>
              <w:t>Plan de Manejo Ambiental.</w:t>
            </w:r>
          </w:p>
        </w:tc>
        <w:tc>
          <w:tcPr>
            <w:tcW w:w="4317" w:type="dxa"/>
          </w:tcPr>
          <w:p w14:paraId="675D79DA" w14:textId="77777777" w:rsidR="00C85C03" w:rsidRDefault="00C85C03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D16308"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val="es-ES"/>
              </w:rPr>
              <w:t>Agréguese un inciso final al artículo 144 de la Ley de Minería el siguiente texto:</w:t>
            </w:r>
            <w:r w:rsidRPr="00D16308"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val="es-ES"/>
              </w:rPr>
              <w:br/>
            </w:r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 xml:space="preserve">“Las autorizaciones de libres aprovechamientos, otorgadas por el ente rector priorizará las solicitudes de los gobiernos autónomos descentralizados conforme a los principios de eficiencia, </w:t>
            </w:r>
            <w:proofErr w:type="spellStart"/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>subsidariedad</w:t>
            </w:r>
            <w:proofErr w:type="spellEnd"/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 xml:space="preserve">, equidad interterritorial y transparencia, para lo cual deberá establecer un procedimiento en el que se pondrá en conocimiento en un plazo de 10 días.- Cuando las autorizaciones sean competencia de los gobiernos autónomos descentralizados municipales deberán cumplir con los parámetros y requisitos establecidos por el ente rector" </w:t>
            </w:r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br/>
            </w:r>
          </w:p>
        </w:tc>
        <w:tc>
          <w:tcPr>
            <w:tcW w:w="4317" w:type="dxa"/>
          </w:tcPr>
          <w:p w14:paraId="08187CF6" w14:textId="77777777" w:rsidR="00C85C03" w:rsidRDefault="00C85C03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D1630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/>
              </w:rPr>
              <w:t>El gobierno central ha demostrado no poder ejercer con eficiencia y eficacia la competencia de áridos y pétreos y el otorgamiento de libres aprovechamientos.</w:t>
            </w:r>
            <w:bookmarkStart w:id="0" w:name="_GoBack"/>
            <w:bookmarkEnd w:id="0"/>
          </w:p>
        </w:tc>
      </w:tr>
    </w:tbl>
    <w:p w14:paraId="499624AD" w14:textId="77777777" w:rsidR="00C85C03" w:rsidRDefault="00C85C03">
      <w:pPr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s-ES"/>
        </w:rPr>
      </w:pPr>
    </w:p>
    <w:p w14:paraId="2009DDB0" w14:textId="77777777" w:rsidR="00C85C03" w:rsidRDefault="00C85C03" w:rsidP="00C85C03">
      <w:pPr>
        <w:spacing w:after="0" w:line="240" w:lineRule="auto"/>
        <w:rPr>
          <w:lang w:val="es-ES"/>
        </w:rPr>
      </w:pPr>
      <w:r w:rsidRPr="00D16308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s-ES"/>
        </w:rPr>
        <w:br/>
      </w:r>
      <w:r w:rsidRPr="00D16308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s-ES"/>
        </w:rPr>
        <w:br/>
      </w:r>
    </w:p>
    <w:p w14:paraId="358A5E70" w14:textId="77777777" w:rsidR="00C85C03" w:rsidRDefault="00C85C03">
      <w:pPr>
        <w:rPr>
          <w:lang w:val="es-ES"/>
        </w:rPr>
      </w:pPr>
    </w:p>
    <w:p w14:paraId="1855BCB1" w14:textId="77777777" w:rsidR="00C85C03" w:rsidRDefault="00C85C03">
      <w:pPr>
        <w:rPr>
          <w:lang w:val="es-ES"/>
        </w:rPr>
      </w:pPr>
    </w:p>
    <w:p w14:paraId="2C348926" w14:textId="77777777" w:rsidR="00C85C03" w:rsidRPr="00C85C03" w:rsidRDefault="00C85C03">
      <w:pPr>
        <w:rPr>
          <w:lang w:val="es-ES"/>
        </w:rPr>
      </w:pPr>
      <w:r w:rsidRPr="00D16308">
        <w:rPr>
          <w:rFonts w:ascii="Bookman Old Style" w:eastAsia="Times New Roman" w:hAnsi="Bookman Old Style" w:cs="Calibri"/>
          <w:color w:val="000000"/>
          <w:sz w:val="24"/>
          <w:szCs w:val="24"/>
          <w:lang w:val="es-ES"/>
        </w:rPr>
        <w:br/>
      </w:r>
    </w:p>
    <w:sectPr w:rsidR="00C85C03" w:rsidRPr="00C85C03" w:rsidSect="00C85C0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03"/>
    <w:rsid w:val="006A6EDB"/>
    <w:rsid w:val="00C8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D9D7"/>
  <w15:chartTrackingRefBased/>
  <w15:docId w15:val="{113F5241-51B7-4AAA-B793-871A5D66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Alberto Zambrano Espinoza</dc:creator>
  <cp:keywords/>
  <dc:description/>
  <cp:lastModifiedBy>Andres Alberto Zambrano Espinoza</cp:lastModifiedBy>
  <cp:revision>1</cp:revision>
  <dcterms:created xsi:type="dcterms:W3CDTF">2021-08-27T16:00:00Z</dcterms:created>
  <dcterms:modified xsi:type="dcterms:W3CDTF">2021-08-27T16:08:00Z</dcterms:modified>
</cp:coreProperties>
</file>