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FE4EB" w14:textId="60EA5138" w:rsidR="006F2AC6" w:rsidRDefault="006F2AC6"/>
    <w:p w14:paraId="183AAB09" w14:textId="038632BF" w:rsidR="007E05B4" w:rsidRDefault="007E05B4" w:rsidP="005E619F">
      <w:pPr>
        <w:spacing w:after="120" w:line="240" w:lineRule="auto"/>
        <w:jc w:val="center"/>
        <w:rPr>
          <w:b/>
          <w:bCs/>
          <w:sz w:val="32"/>
          <w:szCs w:val="32"/>
        </w:rPr>
      </w:pPr>
      <w:r w:rsidRPr="005E619F">
        <w:rPr>
          <w:b/>
          <w:bCs/>
          <w:sz w:val="32"/>
          <w:szCs w:val="32"/>
        </w:rPr>
        <w:t>AGENDA LEGISLATIVA</w:t>
      </w:r>
    </w:p>
    <w:p w14:paraId="4E557EF6" w14:textId="4A5FCA8D" w:rsidR="005E619F" w:rsidRPr="005E619F" w:rsidRDefault="005E619F" w:rsidP="005E619F">
      <w:pPr>
        <w:spacing w:after="120" w:line="240" w:lineRule="auto"/>
        <w:jc w:val="center"/>
        <w:rPr>
          <w:b/>
          <w:bCs/>
          <w:sz w:val="24"/>
          <w:szCs w:val="24"/>
        </w:rPr>
      </w:pPr>
      <w:r w:rsidRPr="005E619F">
        <w:rPr>
          <w:b/>
          <w:bCs/>
          <w:sz w:val="24"/>
          <w:szCs w:val="24"/>
        </w:rPr>
        <w:t xml:space="preserve">Quito, 12 de </w:t>
      </w:r>
      <w:proofErr w:type="gramStart"/>
      <w:r w:rsidRPr="005E619F">
        <w:rPr>
          <w:b/>
          <w:bCs/>
          <w:sz w:val="24"/>
          <w:szCs w:val="24"/>
        </w:rPr>
        <w:t>Agosto</w:t>
      </w:r>
      <w:proofErr w:type="gramEnd"/>
      <w:r w:rsidRPr="005E619F">
        <w:rPr>
          <w:b/>
          <w:bCs/>
          <w:sz w:val="24"/>
          <w:szCs w:val="24"/>
        </w:rPr>
        <w:t xml:space="preserve"> 2020</w:t>
      </w:r>
    </w:p>
    <w:p w14:paraId="4C30A03D" w14:textId="00801FCD" w:rsidR="007E05B4" w:rsidRDefault="007E05B4"/>
    <w:tbl>
      <w:tblPr>
        <w:tblStyle w:val="Tablaconcuadrcula"/>
        <w:tblW w:w="14029" w:type="dxa"/>
        <w:tblLook w:val="04A0" w:firstRow="1" w:lastRow="0" w:firstColumn="1" w:lastColumn="0" w:noHBand="0" w:noVBand="1"/>
      </w:tblPr>
      <w:tblGrid>
        <w:gridCol w:w="1851"/>
        <w:gridCol w:w="7925"/>
        <w:gridCol w:w="4253"/>
      </w:tblGrid>
      <w:tr w:rsidR="0081294C" w:rsidRPr="005E619F" w14:paraId="2D70FAB5" w14:textId="77777777" w:rsidTr="005E619F">
        <w:tc>
          <w:tcPr>
            <w:tcW w:w="1851" w:type="dxa"/>
          </w:tcPr>
          <w:p w14:paraId="3AAB7CD1" w14:textId="282866FA" w:rsidR="0081294C" w:rsidRPr="005E619F" w:rsidRDefault="005E619F">
            <w:pPr>
              <w:rPr>
                <w:b/>
                <w:bCs/>
                <w:sz w:val="24"/>
                <w:szCs w:val="24"/>
              </w:rPr>
            </w:pPr>
            <w:r w:rsidRPr="005E619F">
              <w:rPr>
                <w:b/>
                <w:bCs/>
                <w:sz w:val="24"/>
                <w:szCs w:val="24"/>
              </w:rPr>
              <w:t>REFORMAS</w:t>
            </w:r>
          </w:p>
        </w:tc>
        <w:tc>
          <w:tcPr>
            <w:tcW w:w="7925" w:type="dxa"/>
          </w:tcPr>
          <w:p w14:paraId="5FE0228F" w14:textId="66708C4D" w:rsidR="0081294C" w:rsidRPr="005E619F" w:rsidRDefault="005E619F">
            <w:pPr>
              <w:rPr>
                <w:b/>
                <w:bCs/>
                <w:sz w:val="24"/>
                <w:szCs w:val="24"/>
              </w:rPr>
            </w:pPr>
            <w:r w:rsidRPr="005E619F">
              <w:rPr>
                <w:b/>
                <w:bCs/>
                <w:sz w:val="24"/>
                <w:szCs w:val="24"/>
              </w:rPr>
              <w:t>TEXTO</w:t>
            </w:r>
          </w:p>
        </w:tc>
        <w:tc>
          <w:tcPr>
            <w:tcW w:w="4253" w:type="dxa"/>
          </w:tcPr>
          <w:p w14:paraId="349AB07A" w14:textId="0EE098CB" w:rsidR="0081294C" w:rsidRPr="005E619F" w:rsidRDefault="005E619F">
            <w:pPr>
              <w:rPr>
                <w:b/>
                <w:bCs/>
                <w:sz w:val="24"/>
                <w:szCs w:val="24"/>
              </w:rPr>
            </w:pPr>
            <w:r w:rsidRPr="005E619F">
              <w:rPr>
                <w:b/>
                <w:bCs/>
                <w:sz w:val="24"/>
                <w:szCs w:val="24"/>
              </w:rPr>
              <w:t>MOTIVACION</w:t>
            </w:r>
          </w:p>
        </w:tc>
      </w:tr>
      <w:tr w:rsidR="0081294C" w:rsidRPr="0081294C" w14:paraId="595FFC81" w14:textId="77777777" w:rsidTr="005E619F">
        <w:tc>
          <w:tcPr>
            <w:tcW w:w="1851" w:type="dxa"/>
          </w:tcPr>
          <w:p w14:paraId="5F4B197D" w14:textId="77777777" w:rsidR="0081294C" w:rsidRDefault="0081294C" w:rsidP="00BA3BD4">
            <w:pPr>
              <w:rPr>
                <w:b/>
                <w:bCs/>
                <w:sz w:val="20"/>
                <w:szCs w:val="20"/>
              </w:rPr>
            </w:pPr>
            <w:r w:rsidRPr="0081294C">
              <w:rPr>
                <w:sz w:val="20"/>
                <w:szCs w:val="20"/>
              </w:rPr>
              <w:t>Ley Orgánica de Régimen Tributario Interno</w:t>
            </w:r>
            <w:r w:rsidRPr="0081294C">
              <w:rPr>
                <w:b/>
                <w:bCs/>
                <w:sz w:val="20"/>
                <w:szCs w:val="20"/>
              </w:rPr>
              <w:t xml:space="preserve"> </w:t>
            </w:r>
          </w:p>
          <w:p w14:paraId="0BDC0146" w14:textId="05EC8F88" w:rsidR="0081294C" w:rsidRPr="0081294C" w:rsidRDefault="0081294C" w:rsidP="00BA3BD4">
            <w:pPr>
              <w:rPr>
                <w:sz w:val="20"/>
                <w:szCs w:val="20"/>
              </w:rPr>
            </w:pPr>
            <w:r w:rsidRPr="0081294C">
              <w:rPr>
                <w:b/>
                <w:bCs/>
                <w:sz w:val="20"/>
                <w:szCs w:val="20"/>
              </w:rPr>
              <w:t>Devolución del IVA a los Gobiernos Autónomos Descentralizados</w:t>
            </w:r>
          </w:p>
        </w:tc>
        <w:tc>
          <w:tcPr>
            <w:tcW w:w="7925" w:type="dxa"/>
          </w:tcPr>
          <w:p w14:paraId="31F743A8" w14:textId="3B45026F" w:rsidR="0081294C" w:rsidRPr="0081294C" w:rsidRDefault="0081294C">
            <w:pPr>
              <w:rPr>
                <w:b/>
                <w:bCs/>
                <w:sz w:val="20"/>
                <w:szCs w:val="20"/>
              </w:rPr>
            </w:pPr>
            <w:r w:rsidRPr="0081294C">
              <w:rPr>
                <w:sz w:val="20"/>
                <w:szCs w:val="20"/>
              </w:rPr>
              <w:t xml:space="preserve">Reformar el artículo 73 de la Ley Orgánica de Régimen Tributario Interno: </w:t>
            </w:r>
            <w:r w:rsidRPr="0081294C">
              <w:rPr>
                <w:b/>
                <w:bCs/>
                <w:sz w:val="20"/>
                <w:szCs w:val="20"/>
              </w:rPr>
              <w:t>Devolución del IVA a los Gobiernos Autónomos Descentralizados:</w:t>
            </w:r>
          </w:p>
          <w:p w14:paraId="232CADB6" w14:textId="77777777" w:rsidR="0081294C" w:rsidRPr="0081294C" w:rsidRDefault="0081294C" w:rsidP="0081294C">
            <w:pPr>
              <w:rPr>
                <w:sz w:val="20"/>
                <w:szCs w:val="20"/>
              </w:rPr>
            </w:pPr>
            <w:r w:rsidRPr="0081294C">
              <w:rPr>
                <w:sz w:val="20"/>
                <w:szCs w:val="20"/>
              </w:rPr>
              <w:t xml:space="preserve">Sustitúyase el primer artículo </w:t>
            </w:r>
            <w:proofErr w:type="spellStart"/>
            <w:r w:rsidRPr="0081294C">
              <w:rPr>
                <w:sz w:val="20"/>
                <w:szCs w:val="20"/>
              </w:rPr>
              <w:t>innumerado</w:t>
            </w:r>
            <w:proofErr w:type="spellEnd"/>
            <w:r w:rsidRPr="0081294C">
              <w:rPr>
                <w:sz w:val="20"/>
                <w:szCs w:val="20"/>
              </w:rPr>
              <w:t xml:space="preserve"> posterior al artículo 73 por el siguiente:</w:t>
            </w:r>
          </w:p>
          <w:p w14:paraId="0410D405" w14:textId="77777777" w:rsidR="0081294C" w:rsidRPr="0081294C" w:rsidRDefault="0081294C" w:rsidP="0081294C">
            <w:pPr>
              <w:rPr>
                <w:sz w:val="20"/>
                <w:szCs w:val="20"/>
              </w:rPr>
            </w:pPr>
            <w:r w:rsidRPr="0081294C">
              <w:rPr>
                <w:sz w:val="20"/>
                <w:szCs w:val="20"/>
              </w:rPr>
              <w:t>Art. (…</w:t>
            </w:r>
            <w:proofErr w:type="gramStart"/>
            <w:r w:rsidRPr="0081294C">
              <w:rPr>
                <w:sz w:val="20"/>
                <w:szCs w:val="20"/>
              </w:rPr>
              <w:t>).-</w:t>
            </w:r>
            <w:proofErr w:type="gramEnd"/>
            <w:r w:rsidRPr="0081294C">
              <w:rPr>
                <w:sz w:val="20"/>
                <w:szCs w:val="20"/>
              </w:rPr>
              <w:t xml:space="preserve"> Devolución del Impuesto al  Valor Agregado (IVA) pagado por los Gobiernos Autónomos Descentralizados y universidades y escuelas politécnicas publicas.- L</w:t>
            </w:r>
            <w:r w:rsidRPr="0081294C">
              <w:rPr>
                <w:sz w:val="20"/>
                <w:szCs w:val="20"/>
                <w:u w:val="single"/>
              </w:rPr>
              <w:t xml:space="preserve">os Gobiernos Autónomos Descentralizados  y las universidades y escuelas  politécnicas públicas remitirán la información sobre del Impuesto al Valor Agregado obligatoriamente al Servicio de Rentas Internas para las verificaciones que correspondan, sin que implique desembolsos por concepto de IVA. </w:t>
            </w:r>
          </w:p>
          <w:p w14:paraId="14A28070" w14:textId="77777777" w:rsidR="0081294C" w:rsidRPr="0081294C" w:rsidRDefault="0081294C" w:rsidP="0081294C">
            <w:pPr>
              <w:rPr>
                <w:sz w:val="20"/>
                <w:szCs w:val="20"/>
              </w:rPr>
            </w:pPr>
            <w:r w:rsidRPr="0081294C">
              <w:rPr>
                <w:sz w:val="20"/>
                <w:szCs w:val="20"/>
              </w:rPr>
              <w:t>“Excepcionalmente cuando el impuesto al valor agregado sea recaudado por entidades y organismos del sector público del Gobierno Central y Descentralizado, sus órganos desconcentrados y sus empresas públicas, universidades y escuelas politécnicas del país, actuando estos como agente de retención, los valores retenidos permanecerán en sus cuentas correspondientes y no se depositará en la cuenta del Servicio de Rentas Internas; al efectos todas estas entidades notificarán en la declaración y anexos los valores retenidos que no han sido depositados en la cuenta del SRI para mantener los respectivos registros contables; así como a todas las demás iniciativas existentes que introducen reformas legales referentes al IVA pagado por los GAD y universidades y escuelas politécnicas”. </w:t>
            </w:r>
          </w:p>
          <w:p w14:paraId="1229988C" w14:textId="328BA2F4" w:rsidR="0081294C" w:rsidRPr="0081294C" w:rsidRDefault="0081294C">
            <w:pPr>
              <w:rPr>
                <w:sz w:val="20"/>
                <w:szCs w:val="20"/>
              </w:rPr>
            </w:pPr>
          </w:p>
        </w:tc>
        <w:tc>
          <w:tcPr>
            <w:tcW w:w="4253" w:type="dxa"/>
          </w:tcPr>
          <w:p w14:paraId="63BD5451" w14:textId="77777777" w:rsidR="0081294C" w:rsidRDefault="0081294C">
            <w:pPr>
              <w:rPr>
                <w:sz w:val="20"/>
                <w:szCs w:val="20"/>
              </w:rPr>
            </w:pPr>
          </w:p>
          <w:p w14:paraId="3E288DAA" w14:textId="77777777" w:rsidR="0081294C" w:rsidRDefault="0081294C">
            <w:pPr>
              <w:rPr>
                <w:sz w:val="20"/>
                <w:szCs w:val="20"/>
              </w:rPr>
            </w:pPr>
            <w:r>
              <w:rPr>
                <w:sz w:val="20"/>
                <w:szCs w:val="20"/>
              </w:rPr>
              <w:t>Desde el 2017 la entrega inmediata de los recursos entregados al SRI, no se lo ha realizado.</w:t>
            </w:r>
          </w:p>
          <w:p w14:paraId="19E9F467" w14:textId="77777777" w:rsidR="0081294C" w:rsidRDefault="0081294C">
            <w:pPr>
              <w:rPr>
                <w:sz w:val="20"/>
                <w:szCs w:val="20"/>
              </w:rPr>
            </w:pPr>
          </w:p>
          <w:p w14:paraId="60CDFC96" w14:textId="11C796C2" w:rsidR="0081294C" w:rsidRPr="0081294C" w:rsidRDefault="0081294C">
            <w:pPr>
              <w:rPr>
                <w:sz w:val="20"/>
                <w:szCs w:val="20"/>
              </w:rPr>
            </w:pPr>
            <w:r>
              <w:rPr>
                <w:sz w:val="20"/>
                <w:szCs w:val="20"/>
              </w:rPr>
              <w:t xml:space="preserve">El Ministerio de Economía y Finanzas ha realizado este pago mediante los </w:t>
            </w:r>
            <w:proofErr w:type="spellStart"/>
            <w:r>
              <w:rPr>
                <w:sz w:val="20"/>
                <w:szCs w:val="20"/>
              </w:rPr>
              <w:t>progras</w:t>
            </w:r>
            <w:proofErr w:type="spellEnd"/>
            <w:r>
              <w:rPr>
                <w:sz w:val="20"/>
                <w:szCs w:val="20"/>
              </w:rPr>
              <w:t xml:space="preserve"> FINGAD I (2017), FINGAD (2018), FINGAD III (2019)</w:t>
            </w:r>
          </w:p>
        </w:tc>
      </w:tr>
      <w:tr w:rsidR="0081294C" w:rsidRPr="0081294C" w14:paraId="0E9D5B9F" w14:textId="77777777" w:rsidTr="005E619F">
        <w:tc>
          <w:tcPr>
            <w:tcW w:w="1851" w:type="dxa"/>
          </w:tcPr>
          <w:p w14:paraId="34B3B89F" w14:textId="2288339D" w:rsidR="0081294C" w:rsidRPr="0081294C" w:rsidRDefault="0081294C">
            <w:pPr>
              <w:rPr>
                <w:sz w:val="20"/>
                <w:szCs w:val="20"/>
              </w:rPr>
            </w:pPr>
            <w:r w:rsidRPr="0081294C">
              <w:rPr>
                <w:sz w:val="20"/>
                <w:szCs w:val="20"/>
              </w:rPr>
              <w:t xml:space="preserve">Ley de Recursos Hídricos, Usos y </w:t>
            </w:r>
            <w:r w:rsidR="00F56A71" w:rsidRPr="0081294C">
              <w:rPr>
                <w:sz w:val="20"/>
                <w:szCs w:val="20"/>
              </w:rPr>
              <w:t>Aprovechamiento</w:t>
            </w:r>
            <w:r w:rsidRPr="0081294C">
              <w:rPr>
                <w:sz w:val="20"/>
                <w:szCs w:val="20"/>
              </w:rPr>
              <w:t xml:space="preserve"> del agua</w:t>
            </w:r>
          </w:p>
        </w:tc>
        <w:tc>
          <w:tcPr>
            <w:tcW w:w="7925" w:type="dxa"/>
          </w:tcPr>
          <w:p w14:paraId="6DBE71E4" w14:textId="42D5E11F" w:rsidR="0081294C" w:rsidRPr="0081294C" w:rsidRDefault="0081294C">
            <w:pPr>
              <w:rPr>
                <w:sz w:val="20"/>
                <w:szCs w:val="20"/>
              </w:rPr>
            </w:pPr>
            <w:r w:rsidRPr="0081294C">
              <w:rPr>
                <w:b/>
                <w:bCs/>
                <w:sz w:val="20"/>
                <w:szCs w:val="20"/>
              </w:rPr>
              <w:t>Eliminación</w:t>
            </w:r>
            <w:r w:rsidRPr="0081294C">
              <w:rPr>
                <w:b/>
                <w:bCs/>
                <w:snapToGrid w:val="0"/>
                <w:sz w:val="20"/>
                <w:szCs w:val="20"/>
              </w:rPr>
              <w:t xml:space="preserve"> </w:t>
            </w:r>
            <w:r w:rsidRPr="0081294C">
              <w:rPr>
                <w:b/>
                <w:bCs/>
                <w:sz w:val="20"/>
                <w:szCs w:val="20"/>
              </w:rPr>
              <w:t>del literal m), del artículo 18</w:t>
            </w:r>
            <w:r w:rsidRPr="0081294C">
              <w:rPr>
                <w:sz w:val="20"/>
                <w:szCs w:val="20"/>
              </w:rPr>
              <w:t>, el mismo que establece como competencia y atribución de la autoridad única del agua lo siguiente: “</w:t>
            </w:r>
            <w:r w:rsidRPr="0081294C">
              <w:rPr>
                <w:i/>
                <w:sz w:val="20"/>
                <w:szCs w:val="20"/>
              </w:rPr>
              <w:t>emitir informe técnico de viabilidad para la ejecución de los proyectos de agua potable, saneamiento, riego y drenaje”</w:t>
            </w:r>
            <w:r w:rsidRPr="0081294C">
              <w:rPr>
                <w:sz w:val="20"/>
                <w:szCs w:val="20"/>
              </w:rPr>
              <w:t>.</w:t>
            </w:r>
          </w:p>
        </w:tc>
        <w:tc>
          <w:tcPr>
            <w:tcW w:w="4253" w:type="dxa"/>
          </w:tcPr>
          <w:p w14:paraId="0ACEC083" w14:textId="77777777" w:rsidR="0081294C" w:rsidRDefault="0081294C" w:rsidP="00DE2E66">
            <w:pPr>
              <w:pStyle w:val="Prrafodelista"/>
              <w:numPr>
                <w:ilvl w:val="0"/>
                <w:numId w:val="1"/>
              </w:numPr>
              <w:rPr>
                <w:sz w:val="20"/>
                <w:szCs w:val="20"/>
              </w:rPr>
            </w:pPr>
            <w:r w:rsidRPr="0081294C">
              <w:rPr>
                <w:b/>
                <w:sz w:val="20"/>
                <w:szCs w:val="20"/>
              </w:rPr>
              <w:t>FALTA DE CAPACIDAD OPERATIVA DE SENAGUA</w:t>
            </w:r>
            <w:r w:rsidRPr="0081294C">
              <w:rPr>
                <w:sz w:val="20"/>
                <w:szCs w:val="20"/>
              </w:rPr>
              <w:t>: cada año los GAD provinciales presentan un promedio de 90 proyectos de inversión de riego y drenaje, los mismos que son desarrollados por equipos multidisciplinarios.</w:t>
            </w:r>
          </w:p>
          <w:p w14:paraId="2338F693" w14:textId="77777777" w:rsidR="0081294C" w:rsidRDefault="0081294C" w:rsidP="0081294C">
            <w:pPr>
              <w:pStyle w:val="Prrafodelista"/>
              <w:ind w:left="360"/>
              <w:rPr>
                <w:b/>
                <w:sz w:val="20"/>
                <w:szCs w:val="20"/>
              </w:rPr>
            </w:pPr>
          </w:p>
          <w:p w14:paraId="41464C4F" w14:textId="38BC19DD" w:rsidR="0081294C" w:rsidRPr="0081294C" w:rsidRDefault="0081294C" w:rsidP="0081294C">
            <w:pPr>
              <w:pStyle w:val="Prrafodelista"/>
              <w:ind w:left="360"/>
              <w:rPr>
                <w:sz w:val="20"/>
                <w:szCs w:val="20"/>
              </w:rPr>
            </w:pPr>
            <w:r w:rsidRPr="0081294C">
              <w:rPr>
                <w:sz w:val="20"/>
                <w:szCs w:val="20"/>
              </w:rPr>
              <w:lastRenderedPageBreak/>
              <w:t>SENAGUA por su parte cuenta únicamente con un técnico por centro de atención ciudadana para la revisión de estos proyectos, por lo que el proceso de aprobación de los estudios no corresponde a un filtro de calidad técnica sino más bien un trámite burocrático que tarda de 6 a 9 meses</w:t>
            </w:r>
          </w:p>
          <w:p w14:paraId="16437A45" w14:textId="3F12ABC1" w:rsidR="0081294C" w:rsidRPr="0081294C" w:rsidRDefault="0081294C" w:rsidP="0081294C">
            <w:pPr>
              <w:pStyle w:val="Prrafodelista"/>
              <w:numPr>
                <w:ilvl w:val="0"/>
                <w:numId w:val="1"/>
              </w:numPr>
              <w:rPr>
                <w:sz w:val="20"/>
                <w:szCs w:val="20"/>
              </w:rPr>
            </w:pPr>
            <w:r w:rsidRPr="0081294C">
              <w:rPr>
                <w:b/>
                <w:sz w:val="20"/>
                <w:szCs w:val="20"/>
              </w:rPr>
              <w:t>NO EXISTE LA NORMA TÉCNICA DE RIEGO Y DRENAJE</w:t>
            </w:r>
            <w:r w:rsidRPr="0081294C">
              <w:rPr>
                <w:sz w:val="20"/>
                <w:szCs w:val="20"/>
              </w:rPr>
              <w:t>, por lo que la revisión de los proyectos es subjetiva al criterio de los técnicos de SENAGUA, debido al incumplimiento del artículo 7 de la resolución no. 008-CNC-2011</w:t>
            </w:r>
          </w:p>
          <w:p w14:paraId="3E2438A1" w14:textId="0919E40A" w:rsidR="0081294C" w:rsidRPr="0081294C" w:rsidRDefault="0081294C" w:rsidP="00976295">
            <w:pPr>
              <w:pStyle w:val="Prrafodelista"/>
              <w:numPr>
                <w:ilvl w:val="0"/>
                <w:numId w:val="1"/>
              </w:numPr>
              <w:rPr>
                <w:sz w:val="20"/>
                <w:szCs w:val="20"/>
              </w:rPr>
            </w:pPr>
            <w:r w:rsidRPr="00976295">
              <w:rPr>
                <w:b/>
                <w:sz w:val="20"/>
                <w:szCs w:val="20"/>
              </w:rPr>
              <w:t>INCUMPLIMIENTO EN LA PLANIFICACIÓN NACIONAL Y PROVINCIAL</w:t>
            </w:r>
            <w:r w:rsidRPr="00976295">
              <w:rPr>
                <w:sz w:val="20"/>
                <w:szCs w:val="20"/>
              </w:rPr>
              <w:t>: el gobierno central a través del Ministerio de Finanzas adeuda a los GAD provinciales 108.26 millones de dólares para proyectos de inversión de riego y drenaje</w:t>
            </w:r>
          </w:p>
        </w:tc>
      </w:tr>
      <w:tr w:rsidR="00824A11" w:rsidRPr="0081294C" w14:paraId="562FC0E0" w14:textId="77777777" w:rsidTr="005E619F">
        <w:tc>
          <w:tcPr>
            <w:tcW w:w="1851" w:type="dxa"/>
          </w:tcPr>
          <w:p w14:paraId="707C84B9" w14:textId="69C1E25B" w:rsidR="00824A11" w:rsidRPr="0081294C" w:rsidRDefault="00824A11">
            <w:pPr>
              <w:rPr>
                <w:sz w:val="20"/>
                <w:szCs w:val="20"/>
              </w:rPr>
            </w:pPr>
            <w:r>
              <w:rPr>
                <w:sz w:val="20"/>
                <w:szCs w:val="20"/>
              </w:rPr>
              <w:lastRenderedPageBreak/>
              <w:t>COOTAD</w:t>
            </w:r>
          </w:p>
        </w:tc>
        <w:tc>
          <w:tcPr>
            <w:tcW w:w="7925" w:type="dxa"/>
          </w:tcPr>
          <w:p w14:paraId="2E7ED98D" w14:textId="77777777" w:rsidR="00824A11" w:rsidRDefault="00824A11">
            <w:pPr>
              <w:rPr>
                <w:b/>
                <w:bCs/>
                <w:sz w:val="20"/>
                <w:szCs w:val="20"/>
              </w:rPr>
            </w:pPr>
            <w:r>
              <w:rPr>
                <w:b/>
                <w:bCs/>
                <w:sz w:val="20"/>
                <w:szCs w:val="20"/>
              </w:rPr>
              <w:t>VICEPREFECTO/A</w:t>
            </w:r>
          </w:p>
          <w:p w14:paraId="0A3A6687" w14:textId="77777777" w:rsidR="00824A11" w:rsidRDefault="00824A11">
            <w:pPr>
              <w:rPr>
                <w:b/>
                <w:bCs/>
                <w:sz w:val="20"/>
                <w:szCs w:val="20"/>
              </w:rPr>
            </w:pPr>
            <w:r>
              <w:rPr>
                <w:b/>
                <w:bCs/>
                <w:sz w:val="20"/>
                <w:szCs w:val="20"/>
              </w:rPr>
              <w:t xml:space="preserve">Reforma al Artículo 52, numeral 3: Son funciones del </w:t>
            </w:r>
            <w:proofErr w:type="spellStart"/>
            <w:r>
              <w:rPr>
                <w:b/>
                <w:bCs/>
                <w:sz w:val="20"/>
                <w:szCs w:val="20"/>
              </w:rPr>
              <w:t>viceprefecto</w:t>
            </w:r>
            <w:proofErr w:type="spellEnd"/>
            <w:r>
              <w:rPr>
                <w:b/>
                <w:bCs/>
                <w:sz w:val="20"/>
                <w:szCs w:val="20"/>
              </w:rPr>
              <w:t>/a …</w:t>
            </w:r>
          </w:p>
          <w:p w14:paraId="73FC9D39" w14:textId="1A7EB6E0" w:rsidR="00824A11" w:rsidRPr="00824A11" w:rsidRDefault="00824A11">
            <w:pPr>
              <w:rPr>
                <w:sz w:val="20"/>
                <w:szCs w:val="20"/>
              </w:rPr>
            </w:pPr>
          </w:p>
        </w:tc>
        <w:tc>
          <w:tcPr>
            <w:tcW w:w="4253" w:type="dxa"/>
          </w:tcPr>
          <w:p w14:paraId="3D2882D4" w14:textId="5AA8792E" w:rsidR="005E619F" w:rsidRPr="005E619F" w:rsidRDefault="005E619F" w:rsidP="005E619F">
            <w:pPr>
              <w:rPr>
                <w:bCs/>
                <w:sz w:val="20"/>
                <w:szCs w:val="20"/>
              </w:rPr>
            </w:pPr>
            <w:r w:rsidRPr="005E619F">
              <w:rPr>
                <w:bCs/>
                <w:sz w:val="20"/>
                <w:szCs w:val="20"/>
              </w:rPr>
              <w:t xml:space="preserve">En algunas Prefecturas no se han establecido funciones claras delegadas por el Prefecto </w:t>
            </w:r>
          </w:p>
        </w:tc>
      </w:tr>
      <w:tr w:rsidR="0081294C" w:rsidRPr="0081294C" w14:paraId="4817453E" w14:textId="77777777" w:rsidTr="005E619F">
        <w:tc>
          <w:tcPr>
            <w:tcW w:w="1851" w:type="dxa"/>
          </w:tcPr>
          <w:p w14:paraId="6FE97F44" w14:textId="3DB82C3A" w:rsidR="0081294C" w:rsidRPr="0081294C" w:rsidRDefault="00976295">
            <w:pPr>
              <w:rPr>
                <w:sz w:val="20"/>
                <w:szCs w:val="20"/>
              </w:rPr>
            </w:pPr>
            <w:r>
              <w:rPr>
                <w:sz w:val="20"/>
                <w:szCs w:val="20"/>
              </w:rPr>
              <w:t>Código Ambiental</w:t>
            </w:r>
          </w:p>
        </w:tc>
        <w:tc>
          <w:tcPr>
            <w:tcW w:w="7925" w:type="dxa"/>
          </w:tcPr>
          <w:p w14:paraId="4AE13A2B" w14:textId="3DDCFF35" w:rsidR="002A26D8" w:rsidRDefault="002A26D8">
            <w:pPr>
              <w:rPr>
                <w:sz w:val="20"/>
                <w:szCs w:val="20"/>
              </w:rPr>
            </w:pPr>
            <w:r w:rsidRPr="002A26D8">
              <w:rPr>
                <w:sz w:val="20"/>
                <w:szCs w:val="20"/>
              </w:rPr>
              <w:t>Art. 174.- Catálogo de actividades.</w:t>
            </w:r>
            <w:r>
              <w:rPr>
                <w:sz w:val="20"/>
                <w:szCs w:val="20"/>
              </w:rPr>
              <w:t xml:space="preserve"> Refórmese:</w:t>
            </w:r>
          </w:p>
          <w:p w14:paraId="5548DB5A" w14:textId="6713F1F8" w:rsidR="002A26D8" w:rsidRDefault="002A26D8">
            <w:pPr>
              <w:rPr>
                <w:sz w:val="20"/>
                <w:szCs w:val="20"/>
              </w:rPr>
            </w:pPr>
          </w:p>
          <w:p w14:paraId="0336B4FA" w14:textId="1328822F" w:rsidR="002A26D8" w:rsidRDefault="002A26D8" w:rsidP="002A26D8">
            <w:pPr>
              <w:rPr>
                <w:sz w:val="20"/>
                <w:szCs w:val="20"/>
              </w:rPr>
            </w:pPr>
            <w:r w:rsidRPr="002A26D8">
              <w:rPr>
                <w:sz w:val="20"/>
                <w:szCs w:val="20"/>
              </w:rPr>
              <w:t xml:space="preserve">La Autoridad Ambiental Nacional elaborará y actualizará </w:t>
            </w:r>
            <w:r w:rsidRPr="002A26D8">
              <w:rPr>
                <w:b/>
                <w:bCs/>
                <w:sz w:val="20"/>
                <w:szCs w:val="20"/>
              </w:rPr>
              <w:t>en coordinación con las Autoridades Ambientales Competentes</w:t>
            </w:r>
            <w:r>
              <w:rPr>
                <w:sz w:val="20"/>
                <w:szCs w:val="20"/>
              </w:rPr>
              <w:t xml:space="preserve"> </w:t>
            </w:r>
            <w:r w:rsidRPr="002A26D8">
              <w:rPr>
                <w:sz w:val="20"/>
                <w:szCs w:val="20"/>
              </w:rPr>
              <w:t>el</w:t>
            </w:r>
            <w:r>
              <w:rPr>
                <w:sz w:val="20"/>
                <w:szCs w:val="20"/>
              </w:rPr>
              <w:t xml:space="preserve"> </w:t>
            </w:r>
            <w:r w:rsidRPr="002A26D8">
              <w:rPr>
                <w:sz w:val="20"/>
                <w:szCs w:val="20"/>
              </w:rPr>
              <w:t>catálogo de actividades, de los proyectos, obras o actividades existentes en el país que deban</w:t>
            </w:r>
            <w:r>
              <w:rPr>
                <w:sz w:val="20"/>
                <w:szCs w:val="20"/>
              </w:rPr>
              <w:t xml:space="preserve"> </w:t>
            </w:r>
            <w:r w:rsidRPr="002A26D8">
              <w:rPr>
                <w:sz w:val="20"/>
                <w:szCs w:val="20"/>
              </w:rPr>
              <w:t>regularizarse, en función de la magnitud del impacto o riesgo ambiental que puedan generar. La</w:t>
            </w:r>
            <w:r>
              <w:rPr>
                <w:sz w:val="20"/>
                <w:szCs w:val="20"/>
              </w:rPr>
              <w:t xml:space="preserve"> </w:t>
            </w:r>
            <w:r w:rsidRPr="002A26D8">
              <w:rPr>
                <w:sz w:val="20"/>
                <w:szCs w:val="20"/>
              </w:rPr>
              <w:t>periodicidad de las actualizaciones del catálogo de actividades se sujetará a criterios técnicos</w:t>
            </w:r>
            <w:r>
              <w:rPr>
                <w:sz w:val="20"/>
                <w:szCs w:val="20"/>
              </w:rPr>
              <w:t xml:space="preserve"> </w:t>
            </w:r>
            <w:r w:rsidRPr="002A26D8">
              <w:rPr>
                <w:b/>
                <w:bCs/>
                <w:sz w:val="20"/>
                <w:szCs w:val="20"/>
              </w:rPr>
              <w:t>y cuando lo requiera bajo solicitud de las Autoridad Ambientales Competentes</w:t>
            </w:r>
            <w:r w:rsidRPr="002A26D8">
              <w:rPr>
                <w:sz w:val="20"/>
                <w:szCs w:val="20"/>
              </w:rPr>
              <w:t>.</w:t>
            </w:r>
            <w:r>
              <w:rPr>
                <w:sz w:val="20"/>
                <w:szCs w:val="20"/>
              </w:rPr>
              <w:t xml:space="preserve"> </w:t>
            </w:r>
            <w:r w:rsidRPr="002A26D8">
              <w:rPr>
                <w:sz w:val="20"/>
                <w:szCs w:val="20"/>
              </w:rPr>
              <w:t>Mediante normativa secundaria se determinarán los tipos de permisos, sus procedimientos, estudios</w:t>
            </w:r>
            <w:r>
              <w:rPr>
                <w:sz w:val="20"/>
                <w:szCs w:val="20"/>
              </w:rPr>
              <w:t xml:space="preserve"> </w:t>
            </w:r>
            <w:r w:rsidRPr="002A26D8">
              <w:rPr>
                <w:sz w:val="20"/>
                <w:szCs w:val="20"/>
              </w:rPr>
              <w:t>ambientales y autorizaciones administrativas.</w:t>
            </w:r>
          </w:p>
          <w:p w14:paraId="26995D44" w14:textId="62376806" w:rsidR="002A26D8" w:rsidRDefault="002A26D8">
            <w:pPr>
              <w:rPr>
                <w:sz w:val="20"/>
                <w:szCs w:val="20"/>
              </w:rPr>
            </w:pPr>
          </w:p>
          <w:p w14:paraId="12C8AC02" w14:textId="5591A26A" w:rsidR="00245198" w:rsidRDefault="002A26D8" w:rsidP="002A26D8">
            <w:pPr>
              <w:rPr>
                <w:sz w:val="20"/>
                <w:szCs w:val="20"/>
              </w:rPr>
            </w:pPr>
            <w:r w:rsidRPr="002A26D8">
              <w:rPr>
                <w:sz w:val="20"/>
                <w:szCs w:val="20"/>
              </w:rPr>
              <w:t>Art. 184.- De la participación ciudadana.</w:t>
            </w:r>
            <w:r w:rsidR="00245198">
              <w:rPr>
                <w:sz w:val="20"/>
                <w:szCs w:val="20"/>
              </w:rPr>
              <w:t xml:space="preserve"> Refórmese el último párrafo del presente artículo:</w:t>
            </w:r>
          </w:p>
          <w:p w14:paraId="4F10A050" w14:textId="4BE2F4CE" w:rsidR="00245198" w:rsidRDefault="00245198" w:rsidP="002A26D8">
            <w:pPr>
              <w:rPr>
                <w:sz w:val="20"/>
                <w:szCs w:val="20"/>
              </w:rPr>
            </w:pPr>
          </w:p>
          <w:p w14:paraId="5CD65136" w14:textId="77777777" w:rsidR="00245198" w:rsidRDefault="00245198" w:rsidP="002A26D8">
            <w:pPr>
              <w:rPr>
                <w:sz w:val="20"/>
                <w:szCs w:val="20"/>
              </w:rPr>
            </w:pPr>
          </w:p>
          <w:p w14:paraId="029E8ADF" w14:textId="622506A6" w:rsidR="002A26D8" w:rsidRDefault="00245198" w:rsidP="002A26D8">
            <w:pPr>
              <w:rPr>
                <w:sz w:val="20"/>
                <w:szCs w:val="20"/>
              </w:rPr>
            </w:pPr>
            <w:r>
              <w:rPr>
                <w:sz w:val="20"/>
                <w:szCs w:val="20"/>
              </w:rPr>
              <w:t xml:space="preserve">(…) </w:t>
            </w:r>
            <w:r w:rsidR="002A26D8" w:rsidRPr="002A26D8">
              <w:rPr>
                <w:sz w:val="20"/>
                <w:szCs w:val="20"/>
              </w:rPr>
              <w:t>En los mecanismos de participación social se contará con facilitadores ambientales, los cuales serán</w:t>
            </w:r>
            <w:r>
              <w:rPr>
                <w:sz w:val="20"/>
                <w:szCs w:val="20"/>
              </w:rPr>
              <w:t xml:space="preserve"> </w:t>
            </w:r>
            <w:r w:rsidR="002A26D8" w:rsidRPr="002A26D8">
              <w:rPr>
                <w:sz w:val="20"/>
                <w:szCs w:val="20"/>
              </w:rPr>
              <w:t xml:space="preserve">evaluados, calificados y registrados en el Sistema </w:t>
            </w:r>
            <w:r w:rsidRPr="002A26D8">
              <w:rPr>
                <w:sz w:val="20"/>
                <w:szCs w:val="20"/>
              </w:rPr>
              <w:t>Único</w:t>
            </w:r>
            <w:r w:rsidR="002A26D8" w:rsidRPr="002A26D8">
              <w:rPr>
                <w:sz w:val="20"/>
                <w:szCs w:val="20"/>
              </w:rPr>
              <w:t xml:space="preserve"> de Información Ambiental</w:t>
            </w:r>
            <w:r w:rsidR="002A26D8" w:rsidRPr="00245198">
              <w:rPr>
                <w:b/>
                <w:bCs/>
                <w:sz w:val="20"/>
                <w:szCs w:val="20"/>
              </w:rPr>
              <w:t>.</w:t>
            </w:r>
            <w:r w:rsidRPr="00245198">
              <w:rPr>
                <w:b/>
                <w:bCs/>
                <w:sz w:val="20"/>
                <w:szCs w:val="20"/>
              </w:rPr>
              <w:t xml:space="preserve"> La Autoridades Ambientales Competentes, designarán de forma autónoma al facilitador, bajo criterios técnicos de evaluación establecidos</w:t>
            </w:r>
            <w:r>
              <w:rPr>
                <w:sz w:val="20"/>
                <w:szCs w:val="20"/>
              </w:rPr>
              <w:t xml:space="preserve">. </w:t>
            </w:r>
          </w:p>
          <w:p w14:paraId="417CE79F" w14:textId="6FCE8604" w:rsidR="00245198" w:rsidRDefault="00245198" w:rsidP="002A26D8">
            <w:pPr>
              <w:rPr>
                <w:sz w:val="20"/>
                <w:szCs w:val="20"/>
              </w:rPr>
            </w:pPr>
          </w:p>
          <w:p w14:paraId="60F83DB0" w14:textId="5A2261A7" w:rsidR="00245198" w:rsidRDefault="00245198" w:rsidP="002A26D8">
            <w:pPr>
              <w:rPr>
                <w:sz w:val="20"/>
                <w:szCs w:val="20"/>
              </w:rPr>
            </w:pPr>
            <w:r w:rsidRPr="00245198">
              <w:rPr>
                <w:sz w:val="20"/>
                <w:szCs w:val="20"/>
              </w:rPr>
              <w:t xml:space="preserve">Art. 19.- Sistema </w:t>
            </w:r>
            <w:r w:rsidR="00AF2BE1" w:rsidRPr="00245198">
              <w:rPr>
                <w:sz w:val="20"/>
                <w:szCs w:val="20"/>
              </w:rPr>
              <w:t>Único</w:t>
            </w:r>
            <w:r w:rsidRPr="00245198">
              <w:rPr>
                <w:sz w:val="20"/>
                <w:szCs w:val="20"/>
              </w:rPr>
              <w:t xml:space="preserve"> de Información Ambiental.</w:t>
            </w:r>
            <w:r>
              <w:rPr>
                <w:sz w:val="20"/>
                <w:szCs w:val="20"/>
              </w:rPr>
              <w:t xml:space="preserve"> </w:t>
            </w:r>
            <w:r w:rsidR="00AF2BE1">
              <w:rPr>
                <w:sz w:val="20"/>
                <w:szCs w:val="20"/>
              </w:rPr>
              <w:t>Refórmese</w:t>
            </w:r>
            <w:r>
              <w:rPr>
                <w:sz w:val="20"/>
                <w:szCs w:val="20"/>
              </w:rPr>
              <w:t xml:space="preserve"> el</w:t>
            </w:r>
            <w:r w:rsidR="00AF2BE1">
              <w:rPr>
                <w:sz w:val="20"/>
                <w:szCs w:val="20"/>
              </w:rPr>
              <w:t xml:space="preserve"> primer párrafo</w:t>
            </w:r>
            <w:r>
              <w:rPr>
                <w:sz w:val="20"/>
                <w:szCs w:val="20"/>
              </w:rPr>
              <w:t xml:space="preserve"> presente </w:t>
            </w:r>
            <w:r w:rsidR="00AF2BE1">
              <w:rPr>
                <w:sz w:val="20"/>
                <w:szCs w:val="20"/>
              </w:rPr>
              <w:t>artículo</w:t>
            </w:r>
            <w:r>
              <w:rPr>
                <w:sz w:val="20"/>
                <w:szCs w:val="20"/>
              </w:rPr>
              <w:t>:</w:t>
            </w:r>
          </w:p>
          <w:p w14:paraId="1AC0D3FF" w14:textId="74092C7D" w:rsidR="00245198" w:rsidRDefault="00245198" w:rsidP="002A26D8">
            <w:pPr>
              <w:rPr>
                <w:sz w:val="20"/>
                <w:szCs w:val="20"/>
              </w:rPr>
            </w:pPr>
          </w:p>
          <w:p w14:paraId="75A651F6" w14:textId="0FC1FFC7" w:rsidR="00AF2BE1" w:rsidRPr="00AF2BE1" w:rsidRDefault="00AF2BE1" w:rsidP="00AF2BE1">
            <w:pPr>
              <w:rPr>
                <w:sz w:val="20"/>
                <w:szCs w:val="20"/>
              </w:rPr>
            </w:pPr>
            <w:r w:rsidRPr="00AF2BE1">
              <w:rPr>
                <w:sz w:val="20"/>
                <w:szCs w:val="20"/>
              </w:rPr>
              <w:t xml:space="preserve">El Sistema </w:t>
            </w:r>
            <w:r w:rsidRPr="00AF2BE1">
              <w:rPr>
                <w:sz w:val="20"/>
                <w:szCs w:val="20"/>
              </w:rPr>
              <w:t>Único</w:t>
            </w:r>
            <w:r w:rsidRPr="00AF2BE1">
              <w:rPr>
                <w:sz w:val="20"/>
                <w:szCs w:val="20"/>
              </w:rPr>
              <w:t xml:space="preserve"> de Información Ambiental es el</w:t>
            </w:r>
            <w:r>
              <w:rPr>
                <w:sz w:val="20"/>
                <w:szCs w:val="20"/>
              </w:rPr>
              <w:t xml:space="preserve"> </w:t>
            </w:r>
            <w:r w:rsidRPr="00AF2BE1">
              <w:rPr>
                <w:sz w:val="20"/>
                <w:szCs w:val="20"/>
              </w:rPr>
              <w:t>instrumento de carácter público y obligatorio que contendrá y articulará la información sobre el</w:t>
            </w:r>
            <w:r>
              <w:rPr>
                <w:sz w:val="20"/>
                <w:szCs w:val="20"/>
              </w:rPr>
              <w:t xml:space="preserve"> </w:t>
            </w:r>
            <w:r w:rsidRPr="00AF2BE1">
              <w:rPr>
                <w:sz w:val="20"/>
                <w:szCs w:val="20"/>
              </w:rPr>
              <w:t>estado y conservación del ambiente, así como de los proyectos, obras y actividades que generan</w:t>
            </w:r>
            <w:r>
              <w:rPr>
                <w:sz w:val="20"/>
                <w:szCs w:val="20"/>
              </w:rPr>
              <w:t xml:space="preserve"> </w:t>
            </w:r>
            <w:r w:rsidRPr="00AF2BE1">
              <w:rPr>
                <w:sz w:val="20"/>
                <w:szCs w:val="20"/>
              </w:rPr>
              <w:t xml:space="preserve">riesgo o impacto ambiental. Lo administrará la Autoridad Ambiental Nacional </w:t>
            </w:r>
            <w:r w:rsidRPr="00AF2BE1">
              <w:rPr>
                <w:b/>
                <w:bCs/>
                <w:sz w:val="20"/>
                <w:szCs w:val="20"/>
              </w:rPr>
              <w:t>y para el caso de las Autoridades Ambientales competentes la administración será autónoma y descentralizada</w:t>
            </w:r>
            <w:r w:rsidRPr="00AF2BE1">
              <w:rPr>
                <w:sz w:val="20"/>
                <w:szCs w:val="20"/>
              </w:rPr>
              <w:t>, a él contribuirán con</w:t>
            </w:r>
          </w:p>
          <w:p w14:paraId="08A349E6" w14:textId="77777777" w:rsidR="00AF2BE1" w:rsidRPr="00AF2BE1" w:rsidRDefault="00AF2BE1" w:rsidP="00AF2BE1">
            <w:pPr>
              <w:rPr>
                <w:sz w:val="20"/>
                <w:szCs w:val="20"/>
              </w:rPr>
            </w:pPr>
            <w:r w:rsidRPr="00AF2BE1">
              <w:rPr>
                <w:sz w:val="20"/>
                <w:szCs w:val="20"/>
              </w:rPr>
              <w:t>su información los organismos y entidades del Sistema Nacional Descentralizado de Gestión</w:t>
            </w:r>
          </w:p>
          <w:p w14:paraId="1EFCBC09" w14:textId="263ED917" w:rsidR="00AF2BE1" w:rsidRDefault="00AF2BE1" w:rsidP="00AF2BE1">
            <w:pPr>
              <w:rPr>
                <w:sz w:val="20"/>
                <w:szCs w:val="20"/>
              </w:rPr>
            </w:pPr>
            <w:r w:rsidRPr="00AF2BE1">
              <w:rPr>
                <w:sz w:val="20"/>
                <w:szCs w:val="20"/>
              </w:rPr>
              <w:t>Ambiental y del Estado en general, así como las personas, de conformidad con lo previsto en este</w:t>
            </w:r>
            <w:r>
              <w:rPr>
                <w:sz w:val="20"/>
                <w:szCs w:val="20"/>
              </w:rPr>
              <w:t xml:space="preserve"> </w:t>
            </w:r>
            <w:r w:rsidRPr="00AF2BE1">
              <w:rPr>
                <w:sz w:val="20"/>
                <w:szCs w:val="20"/>
              </w:rPr>
              <w:t>Código y su normativa secundaria</w:t>
            </w:r>
          </w:p>
          <w:p w14:paraId="55D7B2F0" w14:textId="77777777" w:rsidR="00245198" w:rsidRDefault="00245198" w:rsidP="002A26D8">
            <w:pPr>
              <w:rPr>
                <w:sz w:val="20"/>
                <w:szCs w:val="20"/>
              </w:rPr>
            </w:pPr>
          </w:p>
          <w:p w14:paraId="441E8612" w14:textId="2B62E977" w:rsidR="002A26D8" w:rsidRDefault="00AF2BE1">
            <w:pPr>
              <w:rPr>
                <w:sz w:val="20"/>
                <w:szCs w:val="20"/>
              </w:rPr>
            </w:pPr>
            <w:r w:rsidRPr="00AF2BE1">
              <w:rPr>
                <w:sz w:val="20"/>
                <w:szCs w:val="20"/>
              </w:rPr>
              <w:t>Art. 13.- Coordinación interinstitucional.</w:t>
            </w:r>
            <w:r>
              <w:rPr>
                <w:sz w:val="20"/>
                <w:szCs w:val="20"/>
              </w:rPr>
              <w:t xml:space="preserve"> Refórmese el presente artículo a:</w:t>
            </w:r>
          </w:p>
          <w:p w14:paraId="1466B397" w14:textId="0CA3319B" w:rsidR="00AF2BE1" w:rsidRDefault="00AF2BE1">
            <w:pPr>
              <w:rPr>
                <w:sz w:val="20"/>
                <w:szCs w:val="20"/>
              </w:rPr>
            </w:pPr>
          </w:p>
          <w:p w14:paraId="0F8276E1" w14:textId="19715294" w:rsidR="00AF2BE1" w:rsidRPr="00AF2BE1" w:rsidRDefault="00AF2BE1" w:rsidP="00AF2BE1">
            <w:pPr>
              <w:rPr>
                <w:sz w:val="20"/>
                <w:szCs w:val="20"/>
              </w:rPr>
            </w:pPr>
            <w:r w:rsidRPr="00AF2BE1">
              <w:rPr>
                <w:sz w:val="20"/>
                <w:szCs w:val="20"/>
              </w:rPr>
              <w:t>En los casos de concurrencia de atribuciones, facultades o</w:t>
            </w:r>
            <w:r>
              <w:rPr>
                <w:sz w:val="20"/>
                <w:szCs w:val="20"/>
              </w:rPr>
              <w:t xml:space="preserve"> </w:t>
            </w:r>
            <w:r w:rsidRPr="00AF2BE1">
              <w:rPr>
                <w:sz w:val="20"/>
                <w:szCs w:val="20"/>
              </w:rPr>
              <w:t>competencias entre las instituciones del Estado relacionadas con la materia ambiental, deberá existir</w:t>
            </w:r>
            <w:r>
              <w:rPr>
                <w:sz w:val="20"/>
                <w:szCs w:val="20"/>
              </w:rPr>
              <w:t xml:space="preserve"> </w:t>
            </w:r>
            <w:r w:rsidRPr="00AF2BE1">
              <w:rPr>
                <w:sz w:val="20"/>
                <w:szCs w:val="20"/>
              </w:rPr>
              <w:t xml:space="preserve">coordinación </w:t>
            </w:r>
            <w:r>
              <w:rPr>
                <w:sz w:val="20"/>
                <w:szCs w:val="20"/>
              </w:rPr>
              <w:t>i</w:t>
            </w:r>
            <w:r w:rsidRPr="00AF2BE1">
              <w:rPr>
                <w:sz w:val="20"/>
                <w:szCs w:val="20"/>
              </w:rPr>
              <w:t>nterinstitucional para evitar la duplicación de actividades y funciones, así como el</w:t>
            </w:r>
          </w:p>
          <w:p w14:paraId="6BB2C3B3" w14:textId="2B968315" w:rsidR="00AF2BE1" w:rsidRDefault="00AF2BE1" w:rsidP="00AF2BE1">
            <w:pPr>
              <w:rPr>
                <w:b/>
                <w:bCs/>
                <w:sz w:val="20"/>
                <w:szCs w:val="20"/>
              </w:rPr>
            </w:pPr>
            <w:r w:rsidRPr="00AF2BE1">
              <w:rPr>
                <w:sz w:val="20"/>
                <w:szCs w:val="20"/>
              </w:rPr>
              <w:t>incremento no justificado de exigencias administrativas a las personas</w:t>
            </w:r>
            <w:r w:rsidRPr="00AF2BE1">
              <w:rPr>
                <w:b/>
                <w:bCs/>
                <w:sz w:val="20"/>
                <w:szCs w:val="20"/>
              </w:rPr>
              <w:t xml:space="preserve">. Para ello se crearán los comités nacionales ambientales, donde </w:t>
            </w:r>
            <w:r w:rsidRPr="00AF2BE1">
              <w:rPr>
                <w:b/>
                <w:bCs/>
                <w:sz w:val="20"/>
                <w:szCs w:val="20"/>
              </w:rPr>
              <w:t>el gremio de los tres niveles de gobierno participará</w:t>
            </w:r>
            <w:r w:rsidRPr="00AF2BE1">
              <w:rPr>
                <w:b/>
                <w:bCs/>
                <w:sz w:val="20"/>
                <w:szCs w:val="20"/>
              </w:rPr>
              <w:t xml:space="preserve"> como delegados con voz y voto.</w:t>
            </w:r>
          </w:p>
          <w:p w14:paraId="482F9412" w14:textId="64504F67" w:rsidR="00AF2BE1" w:rsidRDefault="00AF2BE1" w:rsidP="00AF2BE1">
            <w:pPr>
              <w:rPr>
                <w:b/>
                <w:bCs/>
                <w:sz w:val="20"/>
                <w:szCs w:val="20"/>
              </w:rPr>
            </w:pPr>
          </w:p>
          <w:p w14:paraId="78030C97" w14:textId="5AC24545" w:rsidR="00AF2BE1" w:rsidRPr="00AF2BE1" w:rsidRDefault="00AF2BE1" w:rsidP="00AF2BE1">
            <w:pPr>
              <w:rPr>
                <w:b/>
                <w:bCs/>
                <w:sz w:val="20"/>
                <w:szCs w:val="20"/>
              </w:rPr>
            </w:pPr>
            <w:r w:rsidRPr="00AF2BE1">
              <w:rPr>
                <w:sz w:val="20"/>
                <w:szCs w:val="20"/>
              </w:rPr>
              <w:t>Art. 25.- Gobiernos Autónomos Descentralizados.</w:t>
            </w:r>
            <w:r>
              <w:rPr>
                <w:b/>
                <w:bCs/>
                <w:sz w:val="20"/>
                <w:szCs w:val="20"/>
              </w:rPr>
              <w:t xml:space="preserve"> </w:t>
            </w:r>
            <w:r>
              <w:rPr>
                <w:sz w:val="20"/>
                <w:szCs w:val="20"/>
              </w:rPr>
              <w:t>Refórmese el presente artículo a:</w:t>
            </w:r>
          </w:p>
          <w:p w14:paraId="19337D6D" w14:textId="77777777" w:rsidR="00AF2BE1" w:rsidRDefault="00AF2BE1">
            <w:pPr>
              <w:rPr>
                <w:sz w:val="20"/>
                <w:szCs w:val="20"/>
              </w:rPr>
            </w:pPr>
          </w:p>
          <w:p w14:paraId="6BC45062" w14:textId="6A14B5A9" w:rsidR="0081294C" w:rsidRPr="0081294C" w:rsidRDefault="00AF2BE1" w:rsidP="00AF2BE1">
            <w:pPr>
              <w:rPr>
                <w:sz w:val="20"/>
                <w:szCs w:val="20"/>
              </w:rPr>
            </w:pPr>
            <w:r w:rsidRPr="00AF2BE1">
              <w:rPr>
                <w:sz w:val="20"/>
                <w:szCs w:val="20"/>
              </w:rPr>
              <w:t>En el marco del Sistema Nacional de</w:t>
            </w:r>
            <w:r>
              <w:rPr>
                <w:sz w:val="20"/>
                <w:szCs w:val="20"/>
              </w:rPr>
              <w:t xml:space="preserve"> </w:t>
            </w:r>
            <w:r w:rsidRPr="00AF2BE1">
              <w:rPr>
                <w:sz w:val="20"/>
                <w:szCs w:val="20"/>
              </w:rPr>
              <w:t>Competencias y del Sistema Descentralizado de Gestión Ambiental, los Gobiernos Autónomos</w:t>
            </w:r>
            <w:r>
              <w:rPr>
                <w:sz w:val="20"/>
                <w:szCs w:val="20"/>
              </w:rPr>
              <w:t xml:space="preserve"> </w:t>
            </w:r>
            <w:r w:rsidRPr="00AF2BE1">
              <w:rPr>
                <w:sz w:val="20"/>
                <w:szCs w:val="20"/>
              </w:rPr>
              <w:t>Descentralizados en todos sus niveles, ejercerán las competencias en materia ambiental asignadas</w:t>
            </w:r>
            <w:r>
              <w:rPr>
                <w:sz w:val="20"/>
                <w:szCs w:val="20"/>
              </w:rPr>
              <w:t xml:space="preserve"> </w:t>
            </w:r>
            <w:r w:rsidRPr="00AF2BE1">
              <w:rPr>
                <w:sz w:val="20"/>
                <w:szCs w:val="20"/>
              </w:rPr>
              <w:t xml:space="preserve">de conformidad con la Constitución y la ley. </w:t>
            </w:r>
            <w:r w:rsidRPr="00AF2BE1">
              <w:rPr>
                <w:b/>
                <w:bCs/>
                <w:sz w:val="20"/>
                <w:szCs w:val="20"/>
              </w:rPr>
              <w:t xml:space="preserve">Tendrán la facultad de acreditarse como Autoridades ambientales competentes el nivel de </w:t>
            </w:r>
            <w:r w:rsidRPr="00AF2BE1">
              <w:rPr>
                <w:b/>
                <w:bCs/>
                <w:sz w:val="20"/>
                <w:szCs w:val="20"/>
              </w:rPr>
              <w:lastRenderedPageBreak/>
              <w:t>gobierno que tenga la competencia exclusiva.</w:t>
            </w:r>
            <w:r w:rsidRPr="00AF2BE1">
              <w:rPr>
                <w:sz w:val="20"/>
                <w:szCs w:val="20"/>
              </w:rPr>
              <w:t xml:space="preserve"> Para efectos de la acreditación estarán sujetos al control</w:t>
            </w:r>
            <w:r>
              <w:rPr>
                <w:sz w:val="20"/>
                <w:szCs w:val="20"/>
              </w:rPr>
              <w:t xml:space="preserve"> </w:t>
            </w:r>
            <w:r w:rsidRPr="00AF2BE1">
              <w:rPr>
                <w:sz w:val="20"/>
                <w:szCs w:val="20"/>
              </w:rPr>
              <w:t>y seguimiento de la Autoridad Ambiental Nacional.</w:t>
            </w:r>
          </w:p>
        </w:tc>
        <w:tc>
          <w:tcPr>
            <w:tcW w:w="4253" w:type="dxa"/>
          </w:tcPr>
          <w:p w14:paraId="62041822" w14:textId="626DD45F" w:rsidR="0081294C" w:rsidRDefault="00AF2BE1">
            <w:pPr>
              <w:rPr>
                <w:sz w:val="20"/>
                <w:szCs w:val="20"/>
              </w:rPr>
            </w:pPr>
            <w:r w:rsidRPr="00AF2BE1">
              <w:rPr>
                <w:sz w:val="20"/>
                <w:szCs w:val="20"/>
              </w:rPr>
              <w:lastRenderedPageBreak/>
              <w:t xml:space="preserve">El </w:t>
            </w:r>
            <w:r w:rsidRPr="00AF2BE1">
              <w:rPr>
                <w:sz w:val="20"/>
                <w:szCs w:val="20"/>
              </w:rPr>
              <w:t>catálogo</w:t>
            </w:r>
            <w:r w:rsidRPr="00AF2BE1">
              <w:rPr>
                <w:sz w:val="20"/>
                <w:szCs w:val="20"/>
              </w:rPr>
              <w:t xml:space="preserve"> nacional </w:t>
            </w:r>
            <w:r>
              <w:rPr>
                <w:sz w:val="20"/>
                <w:szCs w:val="20"/>
              </w:rPr>
              <w:t xml:space="preserve">de actividades </w:t>
            </w:r>
            <w:r w:rsidRPr="00AF2BE1">
              <w:rPr>
                <w:sz w:val="20"/>
                <w:szCs w:val="20"/>
              </w:rPr>
              <w:t xml:space="preserve">no contempla en su   totalidad las actividades que existen en las provincias, por lo que no permite una eficaz </w:t>
            </w:r>
            <w:r w:rsidRPr="00AF2BE1">
              <w:rPr>
                <w:sz w:val="20"/>
                <w:szCs w:val="20"/>
              </w:rPr>
              <w:t>operatividad</w:t>
            </w:r>
            <w:r w:rsidRPr="00AF2BE1">
              <w:rPr>
                <w:sz w:val="20"/>
                <w:szCs w:val="20"/>
              </w:rPr>
              <w:t xml:space="preserve">.   </w:t>
            </w:r>
            <w:r>
              <w:rPr>
                <w:sz w:val="20"/>
                <w:szCs w:val="20"/>
              </w:rPr>
              <w:t>Los GADP deben ser</w:t>
            </w:r>
            <w:r w:rsidRPr="00AF2BE1">
              <w:rPr>
                <w:sz w:val="20"/>
                <w:szCs w:val="20"/>
              </w:rPr>
              <w:t xml:space="preserve"> los </w:t>
            </w:r>
            <w:r w:rsidRPr="00AF2BE1">
              <w:rPr>
                <w:sz w:val="20"/>
                <w:szCs w:val="20"/>
              </w:rPr>
              <w:t xml:space="preserve">gestores </w:t>
            </w:r>
            <w:r w:rsidR="00541E79" w:rsidRPr="00AF2BE1">
              <w:rPr>
                <w:sz w:val="20"/>
                <w:szCs w:val="20"/>
              </w:rPr>
              <w:t>y responsables</w:t>
            </w:r>
            <w:r>
              <w:rPr>
                <w:sz w:val="20"/>
                <w:szCs w:val="20"/>
              </w:rPr>
              <w:t xml:space="preserve"> de</w:t>
            </w:r>
            <w:r w:rsidRPr="00AF2BE1">
              <w:rPr>
                <w:sz w:val="20"/>
                <w:szCs w:val="20"/>
              </w:rPr>
              <w:t xml:space="preserve"> la actualización y generación de la </w:t>
            </w:r>
            <w:r w:rsidRPr="00AF2BE1">
              <w:rPr>
                <w:sz w:val="20"/>
                <w:szCs w:val="20"/>
              </w:rPr>
              <w:t>información</w:t>
            </w:r>
            <w:r w:rsidRPr="00AF2BE1">
              <w:rPr>
                <w:sz w:val="20"/>
                <w:szCs w:val="20"/>
              </w:rPr>
              <w:t xml:space="preserve"> de las actividades económicas a nivel territorial.</w:t>
            </w:r>
          </w:p>
          <w:p w14:paraId="05511772" w14:textId="77777777" w:rsidR="00AF2BE1" w:rsidRDefault="00AF2BE1">
            <w:pPr>
              <w:rPr>
                <w:sz w:val="20"/>
                <w:szCs w:val="20"/>
              </w:rPr>
            </w:pPr>
          </w:p>
          <w:p w14:paraId="16E8F5E3" w14:textId="77777777" w:rsidR="00AF2BE1" w:rsidRDefault="00AF2BE1">
            <w:pPr>
              <w:rPr>
                <w:sz w:val="20"/>
                <w:szCs w:val="20"/>
              </w:rPr>
            </w:pPr>
          </w:p>
          <w:p w14:paraId="3158CD7D" w14:textId="77777777" w:rsidR="00AF2BE1" w:rsidRDefault="00AF2BE1">
            <w:pPr>
              <w:rPr>
                <w:sz w:val="20"/>
                <w:szCs w:val="20"/>
              </w:rPr>
            </w:pPr>
          </w:p>
          <w:p w14:paraId="1A8A3C06" w14:textId="77777777" w:rsidR="00AF2BE1" w:rsidRDefault="00AF2BE1">
            <w:pPr>
              <w:rPr>
                <w:sz w:val="20"/>
                <w:szCs w:val="20"/>
              </w:rPr>
            </w:pPr>
            <w:r w:rsidRPr="00AF2BE1">
              <w:rPr>
                <w:sz w:val="20"/>
                <w:szCs w:val="20"/>
              </w:rPr>
              <w:t xml:space="preserve">La </w:t>
            </w:r>
            <w:r w:rsidR="00541E79">
              <w:rPr>
                <w:sz w:val="20"/>
                <w:szCs w:val="20"/>
              </w:rPr>
              <w:t>Autoridad Ambiental Nacional</w:t>
            </w:r>
            <w:r w:rsidRPr="00AF2BE1">
              <w:rPr>
                <w:sz w:val="20"/>
                <w:szCs w:val="20"/>
              </w:rPr>
              <w:t xml:space="preserve"> designa actualmente facilitadores</w:t>
            </w:r>
            <w:r w:rsidR="00541E79">
              <w:rPr>
                <w:sz w:val="20"/>
                <w:szCs w:val="20"/>
              </w:rPr>
              <w:t xml:space="preserve"> ambiental</w:t>
            </w:r>
            <w:r w:rsidRPr="00AF2BE1">
              <w:rPr>
                <w:sz w:val="20"/>
                <w:szCs w:val="20"/>
              </w:rPr>
              <w:t xml:space="preserve"> a nivel </w:t>
            </w:r>
            <w:r w:rsidRPr="00AF2BE1">
              <w:rPr>
                <w:sz w:val="20"/>
                <w:szCs w:val="20"/>
              </w:rPr>
              <w:lastRenderedPageBreak/>
              <w:t>nacional</w:t>
            </w:r>
            <w:r w:rsidR="00541E79">
              <w:rPr>
                <w:sz w:val="20"/>
                <w:szCs w:val="20"/>
              </w:rPr>
              <w:t xml:space="preserve">, sin previo criterio de evaluación y sin considerar </w:t>
            </w:r>
            <w:r w:rsidRPr="00AF2BE1">
              <w:rPr>
                <w:sz w:val="20"/>
                <w:szCs w:val="20"/>
              </w:rPr>
              <w:t>profesionales</w:t>
            </w:r>
            <w:r w:rsidR="00541E79">
              <w:rPr>
                <w:sz w:val="20"/>
                <w:szCs w:val="20"/>
              </w:rPr>
              <w:t xml:space="preserve">/facilitadores ambientales de la misma provincia que conocen el contexto ambiental del territorio. </w:t>
            </w:r>
            <w:r w:rsidRPr="00AF2BE1">
              <w:rPr>
                <w:sz w:val="20"/>
                <w:szCs w:val="20"/>
              </w:rPr>
              <w:t xml:space="preserve"> </w:t>
            </w:r>
          </w:p>
          <w:p w14:paraId="208CE292" w14:textId="77777777" w:rsidR="00541E79" w:rsidRDefault="00541E79">
            <w:pPr>
              <w:rPr>
                <w:sz w:val="20"/>
                <w:szCs w:val="20"/>
              </w:rPr>
            </w:pPr>
          </w:p>
          <w:p w14:paraId="4AFCCEA6" w14:textId="77777777" w:rsidR="00541E79" w:rsidRDefault="00541E79">
            <w:pPr>
              <w:rPr>
                <w:sz w:val="20"/>
                <w:szCs w:val="20"/>
              </w:rPr>
            </w:pPr>
          </w:p>
          <w:p w14:paraId="2EC66898" w14:textId="77777777" w:rsidR="00541E79" w:rsidRDefault="00541E79">
            <w:pPr>
              <w:rPr>
                <w:sz w:val="20"/>
                <w:szCs w:val="20"/>
              </w:rPr>
            </w:pPr>
            <w:r w:rsidRPr="00541E79">
              <w:rPr>
                <w:sz w:val="20"/>
                <w:szCs w:val="20"/>
              </w:rPr>
              <w:t>Presenta</w:t>
            </w:r>
            <w:r>
              <w:rPr>
                <w:sz w:val="20"/>
                <w:szCs w:val="20"/>
              </w:rPr>
              <w:t xml:space="preserve"> constantemente</w:t>
            </w:r>
            <w:r w:rsidRPr="00541E79">
              <w:rPr>
                <w:sz w:val="20"/>
                <w:szCs w:val="20"/>
              </w:rPr>
              <w:t xml:space="preserve"> problemas en su operatividad y funcionamiento durante la fase de regulación</w:t>
            </w:r>
            <w:r>
              <w:rPr>
                <w:sz w:val="20"/>
                <w:szCs w:val="20"/>
              </w:rPr>
              <w:t xml:space="preserve"> ambiental</w:t>
            </w:r>
            <w:r w:rsidRPr="00541E79">
              <w:rPr>
                <w:sz w:val="20"/>
                <w:szCs w:val="20"/>
              </w:rPr>
              <w:t xml:space="preserve">. </w:t>
            </w:r>
            <w:r>
              <w:rPr>
                <w:sz w:val="20"/>
                <w:szCs w:val="20"/>
              </w:rPr>
              <w:t>Por lo que</w:t>
            </w:r>
            <w:r w:rsidRPr="00541E79">
              <w:rPr>
                <w:sz w:val="20"/>
                <w:szCs w:val="20"/>
              </w:rPr>
              <w:t xml:space="preserve"> la administración </w:t>
            </w:r>
            <w:r w:rsidRPr="00541E79">
              <w:rPr>
                <w:sz w:val="20"/>
                <w:szCs w:val="20"/>
              </w:rPr>
              <w:t>del SUIA</w:t>
            </w:r>
            <w:r w:rsidRPr="00541E79">
              <w:rPr>
                <w:sz w:val="20"/>
                <w:szCs w:val="20"/>
              </w:rPr>
              <w:t xml:space="preserve"> </w:t>
            </w:r>
            <w:r>
              <w:rPr>
                <w:sz w:val="20"/>
                <w:szCs w:val="20"/>
              </w:rPr>
              <w:t xml:space="preserve">debe </w:t>
            </w:r>
            <w:r w:rsidRPr="00541E79">
              <w:rPr>
                <w:sz w:val="20"/>
                <w:szCs w:val="20"/>
              </w:rPr>
              <w:t>se</w:t>
            </w:r>
            <w:r>
              <w:rPr>
                <w:sz w:val="20"/>
                <w:szCs w:val="20"/>
              </w:rPr>
              <w:t>r</w:t>
            </w:r>
            <w:r w:rsidRPr="00541E79">
              <w:rPr>
                <w:sz w:val="20"/>
                <w:szCs w:val="20"/>
              </w:rPr>
              <w:t xml:space="preserve">   </w:t>
            </w:r>
            <w:r w:rsidRPr="00541E79">
              <w:rPr>
                <w:sz w:val="20"/>
                <w:szCs w:val="20"/>
              </w:rPr>
              <w:t>autónoma</w:t>
            </w:r>
            <w:r>
              <w:rPr>
                <w:sz w:val="20"/>
                <w:szCs w:val="20"/>
              </w:rPr>
              <w:t xml:space="preserve"> e integral</w:t>
            </w:r>
            <w:r w:rsidRPr="00541E79">
              <w:rPr>
                <w:sz w:val="20"/>
                <w:szCs w:val="20"/>
              </w:rPr>
              <w:t xml:space="preserve"> para los GADP</w:t>
            </w:r>
            <w:r>
              <w:rPr>
                <w:sz w:val="20"/>
                <w:szCs w:val="20"/>
              </w:rPr>
              <w:t>.</w:t>
            </w:r>
          </w:p>
          <w:p w14:paraId="0D5C574A" w14:textId="77777777" w:rsidR="00541E79" w:rsidRDefault="00541E79">
            <w:pPr>
              <w:rPr>
                <w:sz w:val="20"/>
                <w:szCs w:val="20"/>
              </w:rPr>
            </w:pPr>
          </w:p>
          <w:p w14:paraId="0D342F12" w14:textId="77777777" w:rsidR="00541E79" w:rsidRDefault="00541E79">
            <w:pPr>
              <w:rPr>
                <w:sz w:val="20"/>
                <w:szCs w:val="20"/>
              </w:rPr>
            </w:pPr>
          </w:p>
          <w:p w14:paraId="3118E1BC" w14:textId="77777777" w:rsidR="00541E79" w:rsidRDefault="00541E79">
            <w:pPr>
              <w:rPr>
                <w:sz w:val="20"/>
                <w:szCs w:val="20"/>
              </w:rPr>
            </w:pPr>
          </w:p>
          <w:p w14:paraId="580A5854" w14:textId="77777777" w:rsidR="00541E79" w:rsidRDefault="00541E79">
            <w:pPr>
              <w:rPr>
                <w:sz w:val="20"/>
                <w:szCs w:val="20"/>
              </w:rPr>
            </w:pPr>
          </w:p>
          <w:p w14:paraId="256858B9" w14:textId="77777777" w:rsidR="00541E79" w:rsidRDefault="00541E79">
            <w:pPr>
              <w:rPr>
                <w:sz w:val="20"/>
                <w:szCs w:val="20"/>
              </w:rPr>
            </w:pPr>
          </w:p>
          <w:p w14:paraId="0C8C13AB" w14:textId="77777777" w:rsidR="00541E79" w:rsidRDefault="00541E79">
            <w:pPr>
              <w:rPr>
                <w:sz w:val="20"/>
                <w:szCs w:val="20"/>
              </w:rPr>
            </w:pPr>
          </w:p>
          <w:p w14:paraId="182A7F5A" w14:textId="77777777" w:rsidR="00541E79" w:rsidRDefault="00541E79">
            <w:pPr>
              <w:rPr>
                <w:sz w:val="20"/>
                <w:szCs w:val="20"/>
              </w:rPr>
            </w:pPr>
          </w:p>
          <w:p w14:paraId="429D806F" w14:textId="77777777" w:rsidR="00541E79" w:rsidRDefault="00541E79">
            <w:pPr>
              <w:rPr>
                <w:sz w:val="20"/>
                <w:szCs w:val="20"/>
              </w:rPr>
            </w:pPr>
            <w:r>
              <w:rPr>
                <w:sz w:val="20"/>
                <w:szCs w:val="20"/>
              </w:rPr>
              <w:t xml:space="preserve">Para coordinar la gestión ambiental a nivel provincial se propone la creación de mesas técnicas para la calidad ambiental, patrimonio natural y cambio climático, en el marco del Sistema Descentralizado de Gestión Ambiental los gremios de los tres niveles de gobierno y particularmente del nivel provincial </w:t>
            </w:r>
            <w:r w:rsidRPr="00541E79">
              <w:rPr>
                <w:sz w:val="20"/>
                <w:szCs w:val="20"/>
              </w:rPr>
              <w:t>deb</w:t>
            </w:r>
            <w:r>
              <w:rPr>
                <w:sz w:val="20"/>
                <w:szCs w:val="20"/>
              </w:rPr>
              <w:t xml:space="preserve">en </w:t>
            </w:r>
            <w:r w:rsidRPr="00541E79">
              <w:rPr>
                <w:sz w:val="20"/>
                <w:szCs w:val="20"/>
              </w:rPr>
              <w:t>formar</w:t>
            </w:r>
            <w:r w:rsidRPr="00541E79">
              <w:rPr>
                <w:sz w:val="20"/>
                <w:szCs w:val="20"/>
              </w:rPr>
              <w:t xml:space="preserve"> parte </w:t>
            </w:r>
            <w:r w:rsidRPr="00541E79">
              <w:rPr>
                <w:sz w:val="20"/>
                <w:szCs w:val="20"/>
              </w:rPr>
              <w:t>debido a</w:t>
            </w:r>
            <w:r w:rsidRPr="00541E79">
              <w:rPr>
                <w:sz w:val="20"/>
                <w:szCs w:val="20"/>
              </w:rPr>
              <w:t xml:space="preserve"> ser Autoridades ambientales en su territorio</w:t>
            </w:r>
            <w:r>
              <w:rPr>
                <w:sz w:val="20"/>
                <w:szCs w:val="20"/>
              </w:rPr>
              <w:t>.</w:t>
            </w:r>
          </w:p>
          <w:p w14:paraId="6CD30C7A" w14:textId="77777777" w:rsidR="00541E79" w:rsidRDefault="00541E79">
            <w:pPr>
              <w:rPr>
                <w:sz w:val="20"/>
                <w:szCs w:val="20"/>
              </w:rPr>
            </w:pPr>
          </w:p>
          <w:p w14:paraId="654CA308" w14:textId="0EAE17EF" w:rsidR="00541E79" w:rsidRPr="0081294C" w:rsidRDefault="00541E79">
            <w:pPr>
              <w:rPr>
                <w:sz w:val="20"/>
                <w:szCs w:val="20"/>
              </w:rPr>
            </w:pPr>
            <w:r w:rsidRPr="00541E79">
              <w:rPr>
                <w:sz w:val="20"/>
                <w:szCs w:val="20"/>
              </w:rPr>
              <w:t>Actualmente existen</w:t>
            </w:r>
            <w:r w:rsidR="001E66B6">
              <w:rPr>
                <w:sz w:val="20"/>
                <w:szCs w:val="20"/>
              </w:rPr>
              <w:t xml:space="preserve"> conflicto de competencias a nivel provincial, debido a que uno o más GAD Municipales están solicitando la acreditación como Autoridades Ambientales Competentes.</w:t>
            </w:r>
            <w:r w:rsidRPr="00541E79">
              <w:rPr>
                <w:sz w:val="20"/>
                <w:szCs w:val="20"/>
              </w:rPr>
              <w:t xml:space="preserve"> </w:t>
            </w:r>
            <w:r w:rsidR="001E66B6">
              <w:rPr>
                <w:sz w:val="20"/>
                <w:szCs w:val="20"/>
              </w:rPr>
              <w:t xml:space="preserve">Motivo por el cual es necesario que se esclarezca que el nivel provincial tiene la competencia </w:t>
            </w:r>
            <w:r w:rsidR="001E66B6">
              <w:rPr>
                <w:sz w:val="20"/>
                <w:szCs w:val="20"/>
              </w:rPr>
              <w:lastRenderedPageBreak/>
              <w:t>exclusiva de gestión ambiental y por ende le corresponde acreditarse.</w:t>
            </w:r>
            <w:r w:rsidR="001E66B6" w:rsidRPr="001E66B6">
              <w:rPr>
                <w:sz w:val="20"/>
                <w:szCs w:val="20"/>
              </w:rPr>
              <w:t xml:space="preserve"> </w:t>
            </w:r>
          </w:p>
        </w:tc>
      </w:tr>
      <w:tr w:rsidR="00F56A71" w:rsidRPr="0081294C" w14:paraId="0C614532" w14:textId="77777777" w:rsidTr="005E619F">
        <w:tc>
          <w:tcPr>
            <w:tcW w:w="1851" w:type="dxa"/>
          </w:tcPr>
          <w:p w14:paraId="29B39E76" w14:textId="6AFCCF76" w:rsidR="00F56A71" w:rsidRDefault="00F56A71">
            <w:pPr>
              <w:rPr>
                <w:sz w:val="20"/>
                <w:szCs w:val="20"/>
              </w:rPr>
            </w:pPr>
            <w:r>
              <w:rPr>
                <w:sz w:val="20"/>
                <w:szCs w:val="20"/>
              </w:rPr>
              <w:lastRenderedPageBreak/>
              <w:t>LEY MINERA</w:t>
            </w:r>
          </w:p>
        </w:tc>
        <w:tc>
          <w:tcPr>
            <w:tcW w:w="7925" w:type="dxa"/>
          </w:tcPr>
          <w:p w14:paraId="5DE50798" w14:textId="56BF63FC" w:rsidR="001E7E36" w:rsidRDefault="001E7E36" w:rsidP="003C0C39">
            <w:pPr>
              <w:rPr>
                <w:sz w:val="20"/>
                <w:szCs w:val="20"/>
              </w:rPr>
            </w:pPr>
            <w:r w:rsidRPr="003C0C39">
              <w:rPr>
                <w:sz w:val="20"/>
                <w:szCs w:val="20"/>
              </w:rPr>
              <w:t xml:space="preserve">Art. 144.- Libre aprovechamiento de materiales de construcción para obras </w:t>
            </w:r>
            <w:r w:rsidRPr="003C0C39">
              <w:rPr>
                <w:sz w:val="20"/>
                <w:szCs w:val="20"/>
              </w:rPr>
              <w:t>públicas. -</w:t>
            </w:r>
          </w:p>
          <w:p w14:paraId="4BD24B5E" w14:textId="77777777" w:rsidR="001E7E36" w:rsidRDefault="001E7E36" w:rsidP="003C0C39">
            <w:pPr>
              <w:rPr>
                <w:sz w:val="20"/>
                <w:szCs w:val="20"/>
              </w:rPr>
            </w:pPr>
          </w:p>
          <w:p w14:paraId="6AD2D800" w14:textId="0D1DAA4B" w:rsidR="00F56A71" w:rsidRPr="001E7E36" w:rsidRDefault="001E66B6" w:rsidP="003C0C39">
            <w:r w:rsidRPr="003C0C39">
              <w:rPr>
                <w:sz w:val="20"/>
                <w:szCs w:val="20"/>
              </w:rPr>
              <w:t xml:space="preserve">Considerando la finalidad social o pública del libre aprovechamiento, estos serán autorizados </w:t>
            </w:r>
            <w:r w:rsidRPr="003C0C39">
              <w:rPr>
                <w:b/>
                <w:bCs/>
                <w:sz w:val="20"/>
                <w:szCs w:val="20"/>
              </w:rPr>
              <w:t xml:space="preserve">por </w:t>
            </w:r>
            <w:r w:rsidR="001E7E36" w:rsidRPr="003C0C39">
              <w:rPr>
                <w:b/>
                <w:bCs/>
                <w:sz w:val="20"/>
                <w:szCs w:val="20"/>
              </w:rPr>
              <w:t>el GAD Provincial</w:t>
            </w:r>
            <w:r w:rsidRPr="003C0C39">
              <w:rPr>
                <w:b/>
                <w:bCs/>
                <w:sz w:val="20"/>
                <w:szCs w:val="20"/>
              </w:rPr>
              <w:t>.</w:t>
            </w:r>
            <w:r>
              <w:t xml:space="preserve"> </w:t>
            </w:r>
          </w:p>
        </w:tc>
        <w:tc>
          <w:tcPr>
            <w:tcW w:w="4253" w:type="dxa"/>
          </w:tcPr>
          <w:p w14:paraId="35B56E9D" w14:textId="1769F7CE" w:rsidR="00F56A71" w:rsidRDefault="001E7E36">
            <w:pPr>
              <w:rPr>
                <w:sz w:val="20"/>
                <w:szCs w:val="20"/>
              </w:rPr>
            </w:pPr>
            <w:r>
              <w:rPr>
                <w:sz w:val="20"/>
                <w:szCs w:val="20"/>
              </w:rPr>
              <w:t xml:space="preserve">El principal problema es la descoordinación entre el ARCOM y el </w:t>
            </w:r>
            <w:r w:rsidR="003C0C39">
              <w:rPr>
                <w:sz w:val="20"/>
                <w:szCs w:val="20"/>
              </w:rPr>
              <w:t>Viceministerio</w:t>
            </w:r>
            <w:r>
              <w:rPr>
                <w:sz w:val="20"/>
                <w:szCs w:val="20"/>
              </w:rPr>
              <w:t xml:space="preserve"> de Minas del Ministerio de Energías y Recursos Naturales No Renovables. Razón por la cual </w:t>
            </w:r>
            <w:r w:rsidR="003C0C39">
              <w:rPr>
                <w:sz w:val="20"/>
                <w:szCs w:val="20"/>
              </w:rPr>
              <w:t>el otorgamiento de libres aprovechamientos para obra pública a los GAD se tarda</w:t>
            </w:r>
            <w:r>
              <w:rPr>
                <w:sz w:val="20"/>
                <w:szCs w:val="20"/>
              </w:rPr>
              <w:t xml:space="preserve"> entre 18 hasta 24 meses en adelante. Posterior a ello deben tramitar el permiso ambiental correspondiente dependiendo del nivel de impacto en esta fase </w:t>
            </w:r>
            <w:r w:rsidR="003C0C39">
              <w:rPr>
                <w:sz w:val="20"/>
                <w:szCs w:val="20"/>
              </w:rPr>
              <w:t xml:space="preserve">se </w:t>
            </w:r>
            <w:r>
              <w:rPr>
                <w:sz w:val="20"/>
                <w:szCs w:val="20"/>
              </w:rPr>
              <w:t>tarda de 6 a 12 meses.</w:t>
            </w:r>
          </w:p>
        </w:tc>
      </w:tr>
      <w:tr w:rsidR="005E619F" w:rsidRPr="0081294C" w14:paraId="624DB117" w14:textId="77777777" w:rsidTr="005E619F">
        <w:tc>
          <w:tcPr>
            <w:tcW w:w="1851" w:type="dxa"/>
          </w:tcPr>
          <w:p w14:paraId="0E8C8D81" w14:textId="775EE907" w:rsidR="005E619F" w:rsidRPr="005E619F" w:rsidRDefault="005E619F">
            <w:pPr>
              <w:rPr>
                <w:sz w:val="20"/>
                <w:szCs w:val="20"/>
              </w:rPr>
            </w:pPr>
            <w:r w:rsidRPr="005E619F">
              <w:rPr>
                <w:b/>
                <w:bCs/>
                <w:sz w:val="20"/>
                <w:szCs w:val="20"/>
              </w:rPr>
              <w:t>LEY ORGÁNICA DEL SISTEMA NACIONAL DESCENTRALIZADO DE GESTIÓN DE RIESGOS</w:t>
            </w:r>
          </w:p>
        </w:tc>
        <w:tc>
          <w:tcPr>
            <w:tcW w:w="7925" w:type="dxa"/>
          </w:tcPr>
          <w:p w14:paraId="411D46E2" w14:textId="77777777" w:rsidR="005E619F" w:rsidRDefault="005E619F">
            <w:pPr>
              <w:rPr>
                <w:sz w:val="20"/>
                <w:szCs w:val="20"/>
              </w:rPr>
            </w:pPr>
          </w:p>
        </w:tc>
        <w:tc>
          <w:tcPr>
            <w:tcW w:w="4253" w:type="dxa"/>
          </w:tcPr>
          <w:p w14:paraId="1B352EB6" w14:textId="77777777" w:rsidR="005E619F" w:rsidRDefault="005E619F">
            <w:pPr>
              <w:rPr>
                <w:sz w:val="20"/>
                <w:szCs w:val="20"/>
              </w:rPr>
            </w:pPr>
          </w:p>
        </w:tc>
      </w:tr>
      <w:tr w:rsidR="0081294C" w:rsidRPr="0081294C" w14:paraId="7DBC0E56" w14:textId="77777777" w:rsidTr="005E619F">
        <w:tc>
          <w:tcPr>
            <w:tcW w:w="1851" w:type="dxa"/>
          </w:tcPr>
          <w:p w14:paraId="20456AE2" w14:textId="3D4ED79B" w:rsidR="0081294C" w:rsidRPr="00F56A71" w:rsidRDefault="00824A11">
            <w:pPr>
              <w:rPr>
                <w:b/>
                <w:bCs/>
                <w:sz w:val="20"/>
                <w:szCs w:val="20"/>
              </w:rPr>
            </w:pPr>
            <w:r w:rsidRPr="00F56A71">
              <w:rPr>
                <w:b/>
                <w:bCs/>
                <w:sz w:val="20"/>
                <w:szCs w:val="20"/>
              </w:rPr>
              <w:t>Compras Públicas</w:t>
            </w:r>
          </w:p>
        </w:tc>
        <w:tc>
          <w:tcPr>
            <w:tcW w:w="7925" w:type="dxa"/>
          </w:tcPr>
          <w:p w14:paraId="222210A8" w14:textId="77777777" w:rsidR="0081294C" w:rsidRPr="0081294C" w:rsidRDefault="0081294C">
            <w:pPr>
              <w:rPr>
                <w:sz w:val="20"/>
                <w:szCs w:val="20"/>
              </w:rPr>
            </w:pPr>
          </w:p>
        </w:tc>
        <w:tc>
          <w:tcPr>
            <w:tcW w:w="4253" w:type="dxa"/>
          </w:tcPr>
          <w:p w14:paraId="0FE5CB7C" w14:textId="77777777" w:rsidR="0081294C" w:rsidRPr="0081294C" w:rsidRDefault="0081294C">
            <w:pPr>
              <w:rPr>
                <w:sz w:val="20"/>
                <w:szCs w:val="20"/>
              </w:rPr>
            </w:pPr>
          </w:p>
        </w:tc>
      </w:tr>
      <w:tr w:rsidR="0081294C" w:rsidRPr="0081294C" w14:paraId="3CAF6CC0" w14:textId="77777777" w:rsidTr="005E619F">
        <w:tc>
          <w:tcPr>
            <w:tcW w:w="1851" w:type="dxa"/>
          </w:tcPr>
          <w:p w14:paraId="4E060736" w14:textId="1DB93222" w:rsidR="0081294C" w:rsidRPr="00F56A71" w:rsidRDefault="005E619F">
            <w:pPr>
              <w:rPr>
                <w:b/>
                <w:bCs/>
                <w:sz w:val="20"/>
                <w:szCs w:val="20"/>
              </w:rPr>
            </w:pPr>
            <w:r w:rsidRPr="00F56A71">
              <w:rPr>
                <w:b/>
                <w:bCs/>
                <w:sz w:val="20"/>
                <w:szCs w:val="20"/>
              </w:rPr>
              <w:t>LOSEP</w:t>
            </w:r>
          </w:p>
        </w:tc>
        <w:tc>
          <w:tcPr>
            <w:tcW w:w="7925" w:type="dxa"/>
          </w:tcPr>
          <w:p w14:paraId="584F738A" w14:textId="77777777" w:rsidR="0081294C" w:rsidRPr="0081294C" w:rsidRDefault="0081294C">
            <w:pPr>
              <w:rPr>
                <w:sz w:val="20"/>
                <w:szCs w:val="20"/>
              </w:rPr>
            </w:pPr>
          </w:p>
        </w:tc>
        <w:tc>
          <w:tcPr>
            <w:tcW w:w="4253" w:type="dxa"/>
          </w:tcPr>
          <w:p w14:paraId="7B105590" w14:textId="77777777" w:rsidR="0081294C" w:rsidRPr="0081294C" w:rsidRDefault="0081294C">
            <w:pPr>
              <w:rPr>
                <w:sz w:val="20"/>
                <w:szCs w:val="20"/>
              </w:rPr>
            </w:pPr>
          </w:p>
        </w:tc>
      </w:tr>
      <w:tr w:rsidR="0081294C" w:rsidRPr="0081294C" w14:paraId="5E826E1A" w14:textId="77777777" w:rsidTr="005E619F">
        <w:tc>
          <w:tcPr>
            <w:tcW w:w="1851" w:type="dxa"/>
          </w:tcPr>
          <w:p w14:paraId="365575E1" w14:textId="3EE956AD" w:rsidR="0081294C" w:rsidRPr="00F56A71" w:rsidRDefault="00F56A71">
            <w:pPr>
              <w:rPr>
                <w:b/>
                <w:bCs/>
                <w:sz w:val="20"/>
                <w:szCs w:val="20"/>
              </w:rPr>
            </w:pPr>
            <w:r w:rsidRPr="00F56A71">
              <w:rPr>
                <w:b/>
                <w:bCs/>
                <w:sz w:val="20"/>
                <w:szCs w:val="20"/>
              </w:rPr>
              <w:t>ENMIENDAS</w:t>
            </w:r>
          </w:p>
        </w:tc>
        <w:tc>
          <w:tcPr>
            <w:tcW w:w="7925" w:type="dxa"/>
          </w:tcPr>
          <w:p w14:paraId="0798058B" w14:textId="59F005D0" w:rsidR="0081294C" w:rsidRPr="0081294C" w:rsidRDefault="00F56A71">
            <w:pPr>
              <w:rPr>
                <w:sz w:val="20"/>
                <w:szCs w:val="20"/>
              </w:rPr>
            </w:pPr>
            <w:r>
              <w:rPr>
                <w:sz w:val="20"/>
                <w:szCs w:val="20"/>
              </w:rPr>
              <w:t>Resolver la Sentencia #018-18</w:t>
            </w:r>
            <w:r w:rsidR="00F950C0">
              <w:rPr>
                <w:sz w:val="20"/>
                <w:szCs w:val="20"/>
              </w:rPr>
              <w:t>-SIN-CC del 1ero de agosto del 2018, respecto a los tiempos para la conformación de la Regiones establecida en la Constitución.</w:t>
            </w:r>
          </w:p>
        </w:tc>
        <w:tc>
          <w:tcPr>
            <w:tcW w:w="4253" w:type="dxa"/>
          </w:tcPr>
          <w:p w14:paraId="6E195FF0" w14:textId="77777777" w:rsidR="0081294C" w:rsidRPr="0081294C" w:rsidRDefault="0081294C">
            <w:pPr>
              <w:rPr>
                <w:sz w:val="20"/>
                <w:szCs w:val="20"/>
              </w:rPr>
            </w:pPr>
          </w:p>
        </w:tc>
      </w:tr>
      <w:tr w:rsidR="0081294C" w:rsidRPr="0081294C" w14:paraId="67218E2A" w14:textId="77777777" w:rsidTr="005E619F">
        <w:tc>
          <w:tcPr>
            <w:tcW w:w="1851" w:type="dxa"/>
          </w:tcPr>
          <w:p w14:paraId="7E258330" w14:textId="77777777" w:rsidR="0081294C" w:rsidRPr="0081294C" w:rsidRDefault="0081294C">
            <w:pPr>
              <w:rPr>
                <w:sz w:val="20"/>
                <w:szCs w:val="20"/>
              </w:rPr>
            </w:pPr>
          </w:p>
        </w:tc>
        <w:tc>
          <w:tcPr>
            <w:tcW w:w="7925" w:type="dxa"/>
          </w:tcPr>
          <w:p w14:paraId="0026C832" w14:textId="77777777" w:rsidR="0081294C" w:rsidRPr="0081294C" w:rsidRDefault="0081294C">
            <w:pPr>
              <w:rPr>
                <w:sz w:val="20"/>
                <w:szCs w:val="20"/>
              </w:rPr>
            </w:pPr>
          </w:p>
        </w:tc>
        <w:tc>
          <w:tcPr>
            <w:tcW w:w="4253" w:type="dxa"/>
          </w:tcPr>
          <w:p w14:paraId="6ADACE19" w14:textId="77777777" w:rsidR="0081294C" w:rsidRPr="0081294C" w:rsidRDefault="0081294C">
            <w:pPr>
              <w:rPr>
                <w:sz w:val="20"/>
                <w:szCs w:val="20"/>
              </w:rPr>
            </w:pPr>
          </w:p>
        </w:tc>
      </w:tr>
      <w:tr w:rsidR="0081294C" w:rsidRPr="0081294C" w14:paraId="1C645832" w14:textId="77777777" w:rsidTr="005E619F">
        <w:tc>
          <w:tcPr>
            <w:tcW w:w="1851" w:type="dxa"/>
          </w:tcPr>
          <w:p w14:paraId="7EE743BE" w14:textId="77777777" w:rsidR="0081294C" w:rsidRPr="0081294C" w:rsidRDefault="0081294C">
            <w:pPr>
              <w:rPr>
                <w:sz w:val="20"/>
                <w:szCs w:val="20"/>
              </w:rPr>
            </w:pPr>
          </w:p>
        </w:tc>
        <w:tc>
          <w:tcPr>
            <w:tcW w:w="7925" w:type="dxa"/>
          </w:tcPr>
          <w:p w14:paraId="091ED5C6" w14:textId="77777777" w:rsidR="0081294C" w:rsidRPr="0081294C" w:rsidRDefault="0081294C">
            <w:pPr>
              <w:rPr>
                <w:sz w:val="20"/>
                <w:szCs w:val="20"/>
              </w:rPr>
            </w:pPr>
          </w:p>
        </w:tc>
        <w:tc>
          <w:tcPr>
            <w:tcW w:w="4253" w:type="dxa"/>
          </w:tcPr>
          <w:p w14:paraId="7EFBC93E" w14:textId="77777777" w:rsidR="0081294C" w:rsidRPr="0081294C" w:rsidRDefault="0081294C">
            <w:pPr>
              <w:rPr>
                <w:sz w:val="20"/>
                <w:szCs w:val="20"/>
              </w:rPr>
            </w:pPr>
          </w:p>
        </w:tc>
      </w:tr>
      <w:tr w:rsidR="0081294C" w:rsidRPr="0081294C" w14:paraId="3058C480" w14:textId="77777777" w:rsidTr="005E619F">
        <w:tc>
          <w:tcPr>
            <w:tcW w:w="1851" w:type="dxa"/>
          </w:tcPr>
          <w:p w14:paraId="7A4E358E" w14:textId="77777777" w:rsidR="0081294C" w:rsidRPr="0081294C" w:rsidRDefault="0081294C">
            <w:pPr>
              <w:rPr>
                <w:sz w:val="20"/>
                <w:szCs w:val="20"/>
              </w:rPr>
            </w:pPr>
          </w:p>
        </w:tc>
        <w:tc>
          <w:tcPr>
            <w:tcW w:w="7925" w:type="dxa"/>
          </w:tcPr>
          <w:p w14:paraId="25698126" w14:textId="77777777" w:rsidR="0081294C" w:rsidRPr="0081294C" w:rsidRDefault="0081294C">
            <w:pPr>
              <w:rPr>
                <w:sz w:val="20"/>
                <w:szCs w:val="20"/>
              </w:rPr>
            </w:pPr>
          </w:p>
        </w:tc>
        <w:tc>
          <w:tcPr>
            <w:tcW w:w="4253" w:type="dxa"/>
          </w:tcPr>
          <w:p w14:paraId="5B8C4C52" w14:textId="77777777" w:rsidR="0081294C" w:rsidRPr="0081294C" w:rsidRDefault="0081294C">
            <w:pPr>
              <w:rPr>
                <w:sz w:val="20"/>
                <w:szCs w:val="20"/>
              </w:rPr>
            </w:pPr>
          </w:p>
        </w:tc>
      </w:tr>
    </w:tbl>
    <w:p w14:paraId="4E50B491" w14:textId="77777777" w:rsidR="007E05B4" w:rsidRDefault="007E05B4"/>
    <w:sectPr w:rsidR="007E05B4" w:rsidSect="000C55F0">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26D6B"/>
    <w:multiLevelType w:val="hybridMultilevel"/>
    <w:tmpl w:val="8C6C9C9E"/>
    <w:lvl w:ilvl="0" w:tplc="1CE4B5EC">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B4"/>
    <w:rsid w:val="000C55F0"/>
    <w:rsid w:val="001E66B6"/>
    <w:rsid w:val="001E7E36"/>
    <w:rsid w:val="00245198"/>
    <w:rsid w:val="002A26D8"/>
    <w:rsid w:val="003C0C39"/>
    <w:rsid w:val="00541E79"/>
    <w:rsid w:val="005E619F"/>
    <w:rsid w:val="006F2AC6"/>
    <w:rsid w:val="007E05B4"/>
    <w:rsid w:val="0081294C"/>
    <w:rsid w:val="00824A11"/>
    <w:rsid w:val="00976295"/>
    <w:rsid w:val="00AF2BE1"/>
    <w:rsid w:val="00BA3BD4"/>
    <w:rsid w:val="00F56A71"/>
    <w:rsid w:val="00F950C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C430"/>
  <w15:chartTrackingRefBased/>
  <w15:docId w15:val="{29974CA7-D21F-4648-92B9-350EFBFA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E0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C55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55F0"/>
    <w:rPr>
      <w:rFonts w:ascii="Segoe UI" w:hAnsi="Segoe UI" w:cs="Segoe UI"/>
      <w:sz w:val="18"/>
      <w:szCs w:val="18"/>
    </w:rPr>
  </w:style>
  <w:style w:type="paragraph" w:styleId="Prrafodelista">
    <w:name w:val="List Paragraph"/>
    <w:basedOn w:val="Normal"/>
    <w:uiPriority w:val="34"/>
    <w:qFormat/>
    <w:rsid w:val="00812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0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1350</Words>
  <Characters>7427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del Rocio Andino Ramos</dc:creator>
  <cp:keywords/>
  <dc:description/>
  <cp:lastModifiedBy>Luis Wilson Lechon Sanchez</cp:lastModifiedBy>
  <cp:revision>2</cp:revision>
  <dcterms:created xsi:type="dcterms:W3CDTF">2020-08-12T20:00:00Z</dcterms:created>
  <dcterms:modified xsi:type="dcterms:W3CDTF">2020-08-12T20:00:00Z</dcterms:modified>
</cp:coreProperties>
</file>