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130A" w14:textId="77777777" w:rsidR="004C73B8" w:rsidRPr="004C73B8" w:rsidRDefault="004C73B8" w:rsidP="007F474A">
      <w:pPr>
        <w:spacing w:line="240" w:lineRule="auto"/>
        <w:jc w:val="center"/>
        <w:rPr>
          <w:b/>
          <w:lang w:val="es-ES"/>
        </w:rPr>
      </w:pPr>
      <w:r w:rsidRPr="004C73B8">
        <w:rPr>
          <w:b/>
          <w:lang w:val="es-ES"/>
        </w:rPr>
        <w:t>INFORME DAJ-0</w:t>
      </w:r>
      <w:r w:rsidR="00B92EA8">
        <w:rPr>
          <w:b/>
          <w:lang w:val="es-ES"/>
        </w:rPr>
        <w:t>56</w:t>
      </w:r>
      <w:r w:rsidRPr="004C73B8">
        <w:rPr>
          <w:b/>
          <w:lang w:val="es-ES"/>
        </w:rPr>
        <w:t>-2021</w:t>
      </w:r>
    </w:p>
    <w:p w14:paraId="23014CE9" w14:textId="77777777" w:rsidR="007033D8" w:rsidRDefault="004C73B8" w:rsidP="007F474A">
      <w:pPr>
        <w:spacing w:line="240" w:lineRule="auto"/>
        <w:jc w:val="both"/>
        <w:rPr>
          <w:lang w:val="es-ES"/>
        </w:rPr>
      </w:pPr>
      <w:r w:rsidRPr="004C73B8">
        <w:rPr>
          <w:b/>
          <w:lang w:val="es-ES"/>
        </w:rPr>
        <w:t>ASUNTO:</w:t>
      </w:r>
      <w:r>
        <w:rPr>
          <w:lang w:val="es-ES"/>
        </w:rPr>
        <w:t xml:space="preserve"> Análisis a las reformas a la ley de comunicación (Ley Libre Expresión)</w:t>
      </w:r>
    </w:p>
    <w:p w14:paraId="03F05E2A" w14:textId="77777777" w:rsidR="004C73B8" w:rsidRPr="004C73B8" w:rsidRDefault="004C73B8" w:rsidP="007F474A">
      <w:pPr>
        <w:spacing w:line="240" w:lineRule="auto"/>
        <w:jc w:val="both"/>
        <w:rPr>
          <w:lang w:val="es-ES"/>
        </w:rPr>
      </w:pPr>
      <w:r w:rsidRPr="004C73B8">
        <w:rPr>
          <w:b/>
          <w:lang w:val="es-ES"/>
        </w:rPr>
        <w:t xml:space="preserve">FECHA: </w:t>
      </w:r>
      <w:r>
        <w:rPr>
          <w:lang w:val="es-ES"/>
        </w:rPr>
        <w:t>10 de agosto de 2021</w:t>
      </w:r>
    </w:p>
    <w:p w14:paraId="37592ABB" w14:textId="77777777" w:rsidR="004C73B8" w:rsidRPr="004C73B8" w:rsidRDefault="004C73B8" w:rsidP="007F474A">
      <w:pPr>
        <w:spacing w:line="240" w:lineRule="auto"/>
        <w:jc w:val="both"/>
        <w:rPr>
          <w:b/>
          <w:lang w:val="es-ES"/>
        </w:rPr>
      </w:pPr>
      <w:r w:rsidRPr="004C73B8">
        <w:rPr>
          <w:b/>
          <w:lang w:val="es-ES"/>
        </w:rPr>
        <w:t xml:space="preserve">INTRODUCCIÓN: </w:t>
      </w:r>
    </w:p>
    <w:p w14:paraId="2258AE94" w14:textId="77777777" w:rsidR="009C0FB6" w:rsidRDefault="004C73B8" w:rsidP="007F474A">
      <w:pPr>
        <w:spacing w:line="240" w:lineRule="auto"/>
        <w:jc w:val="both"/>
        <w:rPr>
          <w:lang w:val="es-ES"/>
        </w:rPr>
      </w:pPr>
      <w:r>
        <w:rPr>
          <w:lang w:val="es-ES"/>
        </w:rPr>
        <w:t xml:space="preserve">El presente es un análisis y resumen al proyecto de LEY ORGÁNICA DE LIBRE EXPRESIÓN Y COMUNICACIÓN, presentado por el presidente de la República el 25 de mayo de 2021. </w:t>
      </w:r>
    </w:p>
    <w:p w14:paraId="72C9079F" w14:textId="4B4C4311" w:rsidR="004C73B8" w:rsidRPr="009C0FB6" w:rsidRDefault="009C0FB6" w:rsidP="007F474A">
      <w:pPr>
        <w:spacing w:line="240" w:lineRule="auto"/>
        <w:jc w:val="both"/>
        <w:rPr>
          <w:b/>
          <w:lang w:val="es-ES"/>
        </w:rPr>
      </w:pPr>
      <w:r>
        <w:rPr>
          <w:b/>
          <w:lang w:val="es-ES"/>
        </w:rPr>
        <w:t>ANTECEDENTES:</w:t>
      </w:r>
    </w:p>
    <w:p w14:paraId="253647BD" w14:textId="10002A11" w:rsidR="00B011CC" w:rsidRDefault="009C0FB6" w:rsidP="007F474A">
      <w:pPr>
        <w:pStyle w:val="Prrafodelista"/>
        <w:numPr>
          <w:ilvl w:val="0"/>
          <w:numId w:val="1"/>
        </w:numPr>
        <w:spacing w:line="240" w:lineRule="auto"/>
        <w:jc w:val="both"/>
        <w:rPr>
          <w:lang w:val="es-ES"/>
        </w:rPr>
      </w:pPr>
      <w:r>
        <w:rPr>
          <w:lang w:val="es-ES"/>
        </w:rPr>
        <w:t>El proyecto s</w:t>
      </w:r>
      <w:r w:rsidR="00B011CC">
        <w:rPr>
          <w:lang w:val="es-ES"/>
        </w:rPr>
        <w:t xml:space="preserve">e encuentra a cargo de la Comisión de Relaciones Internacionales y Movilidad Humana </w:t>
      </w:r>
      <w:r w:rsidR="005358B0">
        <w:rPr>
          <w:lang w:val="es-ES"/>
        </w:rPr>
        <w:t xml:space="preserve">de la Asamblea Nacional </w:t>
      </w:r>
      <w:r w:rsidR="00B011CC">
        <w:rPr>
          <w:lang w:val="es-ES"/>
        </w:rPr>
        <w:t>(</w:t>
      </w:r>
      <w:hyperlink r:id="rId8" w:history="1">
        <w:r w:rsidR="00B011CC" w:rsidRPr="00CD4E94">
          <w:rPr>
            <w:rStyle w:val="Hipervnculo"/>
            <w:lang w:val="es-ES"/>
          </w:rPr>
          <w:t>https://twitter.com/RRIIMovilidadAN/status/1422298528840306693</w:t>
        </w:r>
      </w:hyperlink>
      <w:r w:rsidR="00B011CC">
        <w:rPr>
          <w:lang w:val="es-ES"/>
        </w:rPr>
        <w:t xml:space="preserve">). </w:t>
      </w:r>
    </w:p>
    <w:p w14:paraId="2E6AE392" w14:textId="51084E17" w:rsidR="000778B6" w:rsidRDefault="000778B6" w:rsidP="007F474A">
      <w:pPr>
        <w:pStyle w:val="Prrafodelista"/>
        <w:numPr>
          <w:ilvl w:val="0"/>
          <w:numId w:val="1"/>
        </w:numPr>
        <w:spacing w:line="240" w:lineRule="auto"/>
        <w:jc w:val="both"/>
        <w:rPr>
          <w:lang w:val="es-ES"/>
        </w:rPr>
      </w:pPr>
      <w:r>
        <w:rPr>
          <w:lang w:val="es-ES"/>
        </w:rPr>
        <w:t>Se ha dado una sesión a cargo de la mencionada comisión (Compar</w:t>
      </w:r>
      <w:r w:rsidR="005358B0">
        <w:rPr>
          <w:lang w:val="es-ES"/>
        </w:rPr>
        <w:t>ec</w:t>
      </w:r>
      <w:r>
        <w:rPr>
          <w:lang w:val="es-ES"/>
        </w:rPr>
        <w:t xml:space="preserve">encia Unión de Periodistas, delegada de presidenta Mariana Velasco) y de </w:t>
      </w:r>
      <w:r w:rsidR="005358B0">
        <w:rPr>
          <w:lang w:val="es-ES"/>
        </w:rPr>
        <w:t xml:space="preserve">personaje </w:t>
      </w:r>
      <w:r>
        <w:rPr>
          <w:lang w:val="es-ES"/>
        </w:rPr>
        <w:t xml:space="preserve">académico, video disponible en: </w:t>
      </w:r>
      <w:hyperlink r:id="rId9" w:history="1">
        <w:r w:rsidRPr="00CD4E94">
          <w:rPr>
            <w:rStyle w:val="Hipervnculo"/>
            <w:lang w:val="es-ES"/>
          </w:rPr>
          <w:t>https://www.facebook.com/watch/live/?v=364103831776190&amp;ref=watch_permalink</w:t>
        </w:r>
      </w:hyperlink>
      <w:r>
        <w:rPr>
          <w:lang w:val="es-ES"/>
        </w:rPr>
        <w:t xml:space="preserve"> </w:t>
      </w:r>
    </w:p>
    <w:p w14:paraId="0AA0D4C3" w14:textId="63C83507" w:rsidR="00D8385E" w:rsidRDefault="00D8385E" w:rsidP="007F474A">
      <w:pPr>
        <w:pStyle w:val="Prrafodelista"/>
        <w:numPr>
          <w:ilvl w:val="0"/>
          <w:numId w:val="1"/>
        </w:numPr>
        <w:spacing w:line="240" w:lineRule="auto"/>
        <w:jc w:val="both"/>
        <w:rPr>
          <w:lang w:val="es-ES"/>
        </w:rPr>
      </w:pPr>
      <w:r>
        <w:rPr>
          <w:lang w:val="es-ES"/>
        </w:rPr>
        <w:t>Al</w:t>
      </w:r>
      <w:r w:rsidR="0068130F">
        <w:rPr>
          <w:lang w:val="es-ES"/>
        </w:rPr>
        <w:t xml:space="preserve"> momento se han recibido varios aportes (</w:t>
      </w:r>
      <w:hyperlink r:id="rId10" w:history="1">
        <w:r w:rsidR="0068130F" w:rsidRPr="00CD4E94">
          <w:rPr>
            <w:rStyle w:val="Hipervnculo"/>
            <w:lang w:val="es-ES"/>
          </w:rPr>
          <w:t>https://www.asambleanacional.gob.ec/es/noticia/73012-comision-recibe-nuevos-aportes-al-proyecto-de-ley-de</w:t>
        </w:r>
      </w:hyperlink>
      <w:r w:rsidR="0068130F">
        <w:rPr>
          <w:lang w:val="es-ES"/>
        </w:rPr>
        <w:t xml:space="preserve">) </w:t>
      </w:r>
    </w:p>
    <w:p w14:paraId="55A91D92" w14:textId="77777777" w:rsidR="004C73B8" w:rsidRDefault="00B011CC" w:rsidP="007F474A">
      <w:pPr>
        <w:pStyle w:val="Prrafodelista"/>
        <w:numPr>
          <w:ilvl w:val="0"/>
          <w:numId w:val="1"/>
        </w:numPr>
        <w:spacing w:line="240" w:lineRule="auto"/>
        <w:jc w:val="both"/>
        <w:rPr>
          <w:lang w:val="es-ES"/>
        </w:rPr>
      </w:pPr>
      <w:r>
        <w:rPr>
          <w:lang w:val="es-ES"/>
        </w:rPr>
        <w:t xml:space="preserve">Se deroga del artículo 1 hasta el 91.4 y desde el 104 al 119 de la Ley Orgánica de Comunicación promulgada en Registro Oficial Suplemento 22 del 25 de junio de 2013 y sus reformas ROS 432 de 20 de febrero de 2019, y ROS 382 de 01 de febrero de 2021, así como todas sus disposiciones generales. </w:t>
      </w:r>
    </w:p>
    <w:p w14:paraId="53E05975" w14:textId="46A8A843" w:rsidR="00B011CC" w:rsidRDefault="00B011CC" w:rsidP="007F474A">
      <w:pPr>
        <w:pStyle w:val="Prrafodelista"/>
        <w:numPr>
          <w:ilvl w:val="0"/>
          <w:numId w:val="1"/>
        </w:numPr>
        <w:spacing w:line="240" w:lineRule="auto"/>
        <w:jc w:val="both"/>
        <w:rPr>
          <w:lang w:val="es-ES"/>
        </w:rPr>
      </w:pPr>
      <w:r>
        <w:rPr>
          <w:lang w:val="es-ES"/>
        </w:rPr>
        <w:t>Se deroga el artículo 182</w:t>
      </w:r>
      <w:r w:rsidR="0068130F">
        <w:rPr>
          <w:lang w:val="es-ES"/>
        </w:rPr>
        <w:t xml:space="preserve"> </w:t>
      </w:r>
      <w:r w:rsidR="00A93322">
        <w:rPr>
          <w:lang w:val="es-ES"/>
        </w:rPr>
        <w:t>(calumnia)</w:t>
      </w:r>
      <w:r w:rsidR="00A93322">
        <w:rPr>
          <w:rStyle w:val="Refdenotaalpie"/>
          <w:lang w:val="es-ES"/>
        </w:rPr>
        <w:footnoteReference w:id="1"/>
      </w:r>
      <w:r>
        <w:rPr>
          <w:lang w:val="es-ES"/>
        </w:rPr>
        <w:t xml:space="preserve"> y el 396.1</w:t>
      </w:r>
      <w:r w:rsidR="007A7C54">
        <w:rPr>
          <w:rStyle w:val="Refdenotaalpie"/>
          <w:lang w:val="es-ES"/>
        </w:rPr>
        <w:footnoteReference w:id="2"/>
      </w:r>
      <w:r w:rsidR="00912A8C">
        <w:rPr>
          <w:lang w:val="es-ES"/>
        </w:rPr>
        <w:t xml:space="preserve"> (protección a la honra) </w:t>
      </w:r>
      <w:r>
        <w:rPr>
          <w:lang w:val="es-ES"/>
        </w:rPr>
        <w:t xml:space="preserve">del Código Integral Penal. </w:t>
      </w:r>
    </w:p>
    <w:p w14:paraId="4F4BFF5C" w14:textId="6F059935" w:rsidR="005358B0" w:rsidRDefault="005358B0" w:rsidP="007F474A">
      <w:pPr>
        <w:pStyle w:val="Prrafodelista"/>
        <w:numPr>
          <w:ilvl w:val="0"/>
          <w:numId w:val="1"/>
        </w:numPr>
        <w:spacing w:line="240" w:lineRule="auto"/>
        <w:jc w:val="both"/>
        <w:rPr>
          <w:lang w:val="es-ES"/>
        </w:rPr>
      </w:pPr>
      <w:r w:rsidRPr="00E43BF4">
        <w:rPr>
          <w:b/>
          <w:lang w:val="es-ES"/>
        </w:rPr>
        <w:t xml:space="preserve">Los artículos derogados, </w:t>
      </w:r>
      <w:r w:rsidR="00576D84">
        <w:rPr>
          <w:b/>
          <w:lang w:val="es-ES"/>
        </w:rPr>
        <w:t xml:space="preserve">entre los principales, </w:t>
      </w:r>
      <w:r w:rsidRPr="00E43BF4">
        <w:rPr>
          <w:b/>
          <w:lang w:val="es-ES"/>
        </w:rPr>
        <w:t>corresponden a</w:t>
      </w:r>
      <w:r>
        <w:rPr>
          <w:lang w:val="es-ES"/>
        </w:rPr>
        <w:t xml:space="preserve">: </w:t>
      </w:r>
    </w:p>
    <w:p w14:paraId="16D7D87B" w14:textId="47AE52D8" w:rsidR="005358B0" w:rsidRDefault="005358B0" w:rsidP="007F474A">
      <w:pPr>
        <w:pStyle w:val="Prrafodelista"/>
        <w:numPr>
          <w:ilvl w:val="1"/>
          <w:numId w:val="1"/>
        </w:numPr>
        <w:spacing w:line="240" w:lineRule="auto"/>
        <w:jc w:val="both"/>
        <w:rPr>
          <w:lang w:val="es-ES"/>
        </w:rPr>
      </w:pPr>
      <w:r>
        <w:rPr>
          <w:lang w:val="es-ES"/>
        </w:rPr>
        <w:t xml:space="preserve">Disposiciones preliminares y definiciones sobre derechos de la comunicación. </w:t>
      </w:r>
    </w:p>
    <w:p w14:paraId="05ACF81F" w14:textId="69CE94EA" w:rsidR="005358B0" w:rsidRDefault="005358B0" w:rsidP="007F474A">
      <w:pPr>
        <w:pStyle w:val="Prrafodelista"/>
        <w:numPr>
          <w:ilvl w:val="1"/>
          <w:numId w:val="1"/>
        </w:numPr>
        <w:spacing w:line="240" w:lineRule="auto"/>
        <w:jc w:val="both"/>
        <w:rPr>
          <w:lang w:val="es-ES"/>
        </w:rPr>
      </w:pPr>
      <w:r>
        <w:rPr>
          <w:lang w:val="es-ES"/>
        </w:rPr>
        <w:t xml:space="preserve">Principios y derechos de comunicación </w:t>
      </w:r>
      <w:r w:rsidR="00E66BD4">
        <w:rPr>
          <w:lang w:val="es-ES"/>
        </w:rPr>
        <w:t>(Se sustituye en capítulo I de la reforma)</w:t>
      </w:r>
    </w:p>
    <w:p w14:paraId="3AD06E63" w14:textId="0A44A4B4" w:rsidR="005358B0" w:rsidRDefault="005358B0" w:rsidP="007F474A">
      <w:pPr>
        <w:pStyle w:val="Prrafodelista"/>
        <w:numPr>
          <w:ilvl w:val="1"/>
          <w:numId w:val="1"/>
        </w:numPr>
        <w:spacing w:line="240" w:lineRule="auto"/>
        <w:jc w:val="both"/>
        <w:rPr>
          <w:lang w:val="es-ES"/>
        </w:rPr>
      </w:pPr>
      <w:r>
        <w:rPr>
          <w:lang w:val="es-ES"/>
        </w:rPr>
        <w:t>Derechos de igualdad e interculturalidad, y de los comunicadores (se sustituye por otra disposición</w:t>
      </w:r>
      <w:r w:rsidR="002D30DC">
        <w:rPr>
          <w:lang w:val="es-ES"/>
        </w:rPr>
        <w:t>, art. 9, 10 de la reforma</w:t>
      </w:r>
      <w:r>
        <w:rPr>
          <w:lang w:val="es-ES"/>
        </w:rPr>
        <w:t>)</w:t>
      </w:r>
    </w:p>
    <w:p w14:paraId="095A3C98" w14:textId="21BD0CEC" w:rsidR="005358B0" w:rsidRDefault="005358B0" w:rsidP="007F474A">
      <w:pPr>
        <w:pStyle w:val="Prrafodelista"/>
        <w:numPr>
          <w:ilvl w:val="1"/>
          <w:numId w:val="1"/>
        </w:numPr>
        <w:spacing w:line="240" w:lineRule="auto"/>
        <w:jc w:val="both"/>
        <w:rPr>
          <w:lang w:val="es-ES"/>
        </w:rPr>
      </w:pPr>
      <w:r>
        <w:rPr>
          <w:lang w:val="es-ES"/>
        </w:rPr>
        <w:t xml:space="preserve">Protección a los trabajadores de la comunicación. </w:t>
      </w:r>
    </w:p>
    <w:p w14:paraId="6CA58D34" w14:textId="79BFCCEB" w:rsidR="005358B0" w:rsidRDefault="005358B0" w:rsidP="007F474A">
      <w:pPr>
        <w:pStyle w:val="Prrafodelista"/>
        <w:numPr>
          <w:ilvl w:val="1"/>
          <w:numId w:val="1"/>
        </w:numPr>
        <w:spacing w:line="240" w:lineRule="auto"/>
        <w:jc w:val="both"/>
        <w:rPr>
          <w:lang w:val="es-ES"/>
        </w:rPr>
      </w:pPr>
      <w:r>
        <w:rPr>
          <w:lang w:val="es-ES"/>
        </w:rPr>
        <w:t>Sistema de comunicación social e institucionalidad</w:t>
      </w:r>
      <w:r w:rsidR="001350AE">
        <w:rPr>
          <w:lang w:val="es-ES"/>
        </w:rPr>
        <w:t xml:space="preserve"> (No obstante, se mantienen las atribuciones del</w:t>
      </w:r>
      <w:r w:rsidR="009D5414">
        <w:rPr>
          <w:lang w:val="es-ES"/>
        </w:rPr>
        <w:t xml:space="preserve"> CORDICOM establecidas en</w:t>
      </w:r>
      <w:r w:rsidR="001350AE">
        <w:rPr>
          <w:lang w:val="es-ES"/>
        </w:rPr>
        <w:t xml:space="preserve"> art</w:t>
      </w:r>
      <w:r w:rsidR="009D5414">
        <w:rPr>
          <w:lang w:val="es-ES"/>
        </w:rPr>
        <w:t>s</w:t>
      </w:r>
      <w:r w:rsidR="001350AE">
        <w:rPr>
          <w:lang w:val="es-ES"/>
        </w:rPr>
        <w:t>. 93 y 94 de la ley actual, LOC)</w:t>
      </w:r>
      <w:r>
        <w:rPr>
          <w:lang w:val="es-ES"/>
        </w:rPr>
        <w:t>.</w:t>
      </w:r>
    </w:p>
    <w:p w14:paraId="1551342A" w14:textId="55349E12" w:rsidR="005358B0" w:rsidRDefault="005358B0" w:rsidP="007F474A">
      <w:pPr>
        <w:pStyle w:val="Prrafodelista"/>
        <w:numPr>
          <w:ilvl w:val="1"/>
          <w:numId w:val="1"/>
        </w:numPr>
        <w:spacing w:line="240" w:lineRule="auto"/>
        <w:jc w:val="both"/>
        <w:rPr>
          <w:lang w:val="es-ES"/>
        </w:rPr>
      </w:pPr>
      <w:r>
        <w:rPr>
          <w:lang w:val="es-ES"/>
        </w:rPr>
        <w:t>Clasificación de audiencias y franjas horarias</w:t>
      </w:r>
    </w:p>
    <w:p w14:paraId="5EA0FF57" w14:textId="72E43B26" w:rsidR="005358B0" w:rsidRDefault="005358B0" w:rsidP="007F474A">
      <w:pPr>
        <w:pStyle w:val="Prrafodelista"/>
        <w:numPr>
          <w:ilvl w:val="1"/>
          <w:numId w:val="1"/>
        </w:numPr>
        <w:spacing w:line="240" w:lineRule="auto"/>
        <w:jc w:val="both"/>
        <w:rPr>
          <w:lang w:val="es-ES"/>
        </w:rPr>
      </w:pPr>
      <w:r>
        <w:rPr>
          <w:lang w:val="es-ES"/>
        </w:rPr>
        <w:lastRenderedPageBreak/>
        <w:t>Clasificación de medios de comunicación social</w:t>
      </w:r>
      <w:r w:rsidR="007B00FE">
        <w:rPr>
          <w:lang w:val="es-ES"/>
        </w:rPr>
        <w:t xml:space="preserve"> (públicos, privados y comunitarios)</w:t>
      </w:r>
    </w:p>
    <w:p w14:paraId="38BE110C" w14:textId="56B7ADD6" w:rsidR="00E43BF4" w:rsidRDefault="00E43BF4" w:rsidP="007F474A">
      <w:pPr>
        <w:pStyle w:val="Prrafodelista"/>
        <w:numPr>
          <w:ilvl w:val="1"/>
          <w:numId w:val="1"/>
        </w:numPr>
        <w:spacing w:line="240" w:lineRule="auto"/>
        <w:jc w:val="both"/>
        <w:rPr>
          <w:lang w:val="es-ES"/>
        </w:rPr>
      </w:pPr>
      <w:r>
        <w:rPr>
          <w:lang w:val="es-ES"/>
        </w:rPr>
        <w:t>Espectáculos públicos (Art. 104)</w:t>
      </w:r>
    </w:p>
    <w:p w14:paraId="5F94D969" w14:textId="78842E17" w:rsidR="00E43BF4" w:rsidRDefault="00E43BF4" w:rsidP="007F474A">
      <w:pPr>
        <w:pStyle w:val="Prrafodelista"/>
        <w:numPr>
          <w:ilvl w:val="1"/>
          <w:numId w:val="1"/>
        </w:numPr>
        <w:spacing w:line="240" w:lineRule="auto"/>
        <w:jc w:val="both"/>
        <w:rPr>
          <w:lang w:val="es-ES"/>
        </w:rPr>
      </w:pPr>
      <w:r>
        <w:rPr>
          <w:lang w:val="es-ES"/>
        </w:rPr>
        <w:t>Espectro Radioeléctrico</w:t>
      </w:r>
      <w:r w:rsidR="00084DF7">
        <w:rPr>
          <w:lang w:val="es-ES"/>
        </w:rPr>
        <w:t xml:space="preserve"> </w:t>
      </w:r>
      <w:r w:rsidR="0029551C">
        <w:rPr>
          <w:lang w:val="es-ES"/>
        </w:rPr>
        <w:t>(Art. 105 en adelante)</w:t>
      </w:r>
    </w:p>
    <w:p w14:paraId="7E58682F" w14:textId="77777777" w:rsidR="00016F38" w:rsidRDefault="00016F38" w:rsidP="007F474A">
      <w:pPr>
        <w:pStyle w:val="Prrafodelista"/>
        <w:spacing w:line="240" w:lineRule="auto"/>
        <w:ind w:left="1440"/>
        <w:jc w:val="both"/>
        <w:rPr>
          <w:lang w:val="es-ES"/>
        </w:rPr>
      </w:pPr>
    </w:p>
    <w:p w14:paraId="4F4A8A35" w14:textId="25D82DB6" w:rsidR="007B00FE" w:rsidRPr="00576D84" w:rsidRDefault="00CF2ECB" w:rsidP="007F474A">
      <w:pPr>
        <w:pStyle w:val="Prrafodelista"/>
        <w:numPr>
          <w:ilvl w:val="0"/>
          <w:numId w:val="1"/>
        </w:numPr>
        <w:spacing w:line="240" w:lineRule="auto"/>
        <w:jc w:val="both"/>
        <w:rPr>
          <w:b/>
          <w:lang w:val="es-ES"/>
        </w:rPr>
      </w:pPr>
      <w:r w:rsidRPr="00576D84">
        <w:rPr>
          <w:b/>
          <w:lang w:val="es-ES"/>
        </w:rPr>
        <w:t>De lo que se</w:t>
      </w:r>
      <w:r w:rsidR="007B00FE" w:rsidRPr="00576D84">
        <w:rPr>
          <w:b/>
          <w:lang w:val="es-ES"/>
        </w:rPr>
        <w:t xml:space="preserve"> mantiene</w:t>
      </w:r>
      <w:r w:rsidRPr="00576D84">
        <w:rPr>
          <w:b/>
          <w:lang w:val="es-ES"/>
        </w:rPr>
        <w:t>, se resalta</w:t>
      </w:r>
      <w:r w:rsidR="007B00FE" w:rsidRPr="00576D84">
        <w:rPr>
          <w:b/>
          <w:lang w:val="es-ES"/>
        </w:rPr>
        <w:t xml:space="preserve"> l</w:t>
      </w:r>
      <w:r w:rsidR="00E43BF4" w:rsidRPr="00576D84">
        <w:rPr>
          <w:b/>
          <w:lang w:val="es-ES"/>
        </w:rPr>
        <w:t>o</w:t>
      </w:r>
      <w:r w:rsidR="007B00FE" w:rsidRPr="00576D84">
        <w:rPr>
          <w:b/>
          <w:lang w:val="es-ES"/>
        </w:rPr>
        <w:t xml:space="preserve"> siguiente: </w:t>
      </w:r>
    </w:p>
    <w:p w14:paraId="24027563" w14:textId="394C2337" w:rsidR="005358B0" w:rsidRDefault="007B00FE" w:rsidP="007F474A">
      <w:pPr>
        <w:pStyle w:val="Prrafodelista"/>
        <w:numPr>
          <w:ilvl w:val="1"/>
          <w:numId w:val="1"/>
        </w:numPr>
        <w:spacing w:line="240" w:lineRule="auto"/>
        <w:jc w:val="both"/>
        <w:rPr>
          <w:lang w:val="es-ES"/>
        </w:rPr>
      </w:pPr>
      <w:r>
        <w:rPr>
          <w:lang w:val="es-ES"/>
        </w:rPr>
        <w:t>Sección propaganda y publicidad</w:t>
      </w:r>
    </w:p>
    <w:p w14:paraId="38EFD3C4" w14:textId="03823E6F" w:rsidR="00E43BF4" w:rsidRDefault="00E43BF4" w:rsidP="007F474A">
      <w:pPr>
        <w:pStyle w:val="Prrafodelista"/>
        <w:numPr>
          <w:ilvl w:val="1"/>
          <w:numId w:val="1"/>
        </w:numPr>
        <w:spacing w:line="240" w:lineRule="auto"/>
        <w:jc w:val="both"/>
        <w:rPr>
          <w:lang w:val="es-ES"/>
        </w:rPr>
      </w:pPr>
      <w:r>
        <w:rPr>
          <w:lang w:val="es-ES"/>
        </w:rPr>
        <w:t>Producción Nacional (60%)</w:t>
      </w:r>
      <w:r w:rsidR="00E505CF">
        <w:rPr>
          <w:lang w:val="es-ES"/>
        </w:rPr>
        <w:t xml:space="preserve"> (Art. 97, LOC)</w:t>
      </w:r>
    </w:p>
    <w:p w14:paraId="5CBE61CC" w14:textId="6F200645" w:rsidR="00E43BF4" w:rsidRDefault="002D30DC" w:rsidP="007F474A">
      <w:pPr>
        <w:pStyle w:val="Prrafodelista"/>
        <w:numPr>
          <w:ilvl w:val="1"/>
          <w:numId w:val="1"/>
        </w:numPr>
        <w:spacing w:line="240" w:lineRule="auto"/>
        <w:jc w:val="both"/>
        <w:rPr>
          <w:lang w:val="es-ES"/>
        </w:rPr>
      </w:pPr>
      <w:r>
        <w:rPr>
          <w:lang w:val="es-ES"/>
        </w:rPr>
        <w:t>Derecho a la réplica (Art. 6</w:t>
      </w:r>
      <w:r w:rsidR="00E505CF">
        <w:rPr>
          <w:lang w:val="es-ES"/>
        </w:rPr>
        <w:t>,</w:t>
      </w:r>
      <w:r>
        <w:rPr>
          <w:lang w:val="es-ES"/>
        </w:rPr>
        <w:t xml:space="preserve"> propuesta)</w:t>
      </w:r>
    </w:p>
    <w:p w14:paraId="6B0FEC37" w14:textId="486A8DCE" w:rsidR="007B00FE" w:rsidRDefault="002D30DC" w:rsidP="007F474A">
      <w:pPr>
        <w:pStyle w:val="Prrafodelista"/>
        <w:numPr>
          <w:ilvl w:val="1"/>
          <w:numId w:val="1"/>
        </w:numPr>
        <w:spacing w:line="240" w:lineRule="auto"/>
        <w:jc w:val="both"/>
        <w:rPr>
          <w:lang w:val="es-ES"/>
        </w:rPr>
      </w:pPr>
      <w:r>
        <w:rPr>
          <w:lang w:val="es-ES"/>
        </w:rPr>
        <w:t>Cláusula de conciencia (Art. 11</w:t>
      </w:r>
      <w:r w:rsidR="00E505CF">
        <w:rPr>
          <w:lang w:val="es-ES"/>
        </w:rPr>
        <w:t>, propuesta</w:t>
      </w:r>
      <w:r>
        <w:rPr>
          <w:lang w:val="es-ES"/>
        </w:rPr>
        <w:t>)</w:t>
      </w:r>
    </w:p>
    <w:p w14:paraId="4922A3A7" w14:textId="5F45E515" w:rsidR="00092EE4" w:rsidRDefault="00092EE4" w:rsidP="007F474A">
      <w:pPr>
        <w:pStyle w:val="Prrafodelista"/>
        <w:numPr>
          <w:ilvl w:val="1"/>
          <w:numId w:val="1"/>
        </w:numPr>
        <w:spacing w:line="240" w:lineRule="auto"/>
        <w:jc w:val="both"/>
        <w:rPr>
          <w:lang w:val="es-ES"/>
        </w:rPr>
      </w:pPr>
      <w:r>
        <w:rPr>
          <w:lang w:val="es-ES"/>
        </w:rPr>
        <w:t xml:space="preserve">Inversión pública en publicidad y propaganda (Art. 96 LOC, Art. 11, </w:t>
      </w:r>
      <w:r w:rsidR="00E505CF">
        <w:rPr>
          <w:lang w:val="es-ES"/>
        </w:rPr>
        <w:t>propuesta</w:t>
      </w:r>
      <w:r>
        <w:rPr>
          <w:lang w:val="es-ES"/>
        </w:rPr>
        <w:t>)</w:t>
      </w:r>
    </w:p>
    <w:p w14:paraId="177238B6" w14:textId="4B2D889B" w:rsidR="005219AB" w:rsidRDefault="005219AB" w:rsidP="007F474A">
      <w:pPr>
        <w:pStyle w:val="Prrafodelista"/>
        <w:numPr>
          <w:ilvl w:val="1"/>
          <w:numId w:val="1"/>
        </w:numPr>
        <w:spacing w:line="240" w:lineRule="auto"/>
        <w:jc w:val="both"/>
        <w:rPr>
          <w:lang w:val="es-ES"/>
        </w:rPr>
      </w:pPr>
    </w:p>
    <w:p w14:paraId="1F90156A" w14:textId="638058D4" w:rsidR="00E66BD4" w:rsidRDefault="002345B3" w:rsidP="007F474A">
      <w:pPr>
        <w:spacing w:line="240" w:lineRule="auto"/>
        <w:jc w:val="both"/>
        <w:rPr>
          <w:b/>
          <w:lang w:val="es-ES"/>
        </w:rPr>
      </w:pPr>
      <w:r w:rsidRPr="00E66BD4">
        <w:rPr>
          <w:b/>
          <w:lang w:val="es-ES"/>
        </w:rPr>
        <w:t>OBSERVACIONES</w:t>
      </w:r>
      <w:r w:rsidR="00E66BD4" w:rsidRPr="00E66BD4">
        <w:rPr>
          <w:b/>
          <w:lang w:val="es-ES"/>
        </w:rPr>
        <w:t xml:space="preserve">: </w:t>
      </w:r>
    </w:p>
    <w:p w14:paraId="40C621A8" w14:textId="65A17302" w:rsidR="00E66BD4" w:rsidRPr="00BF2D8A" w:rsidRDefault="00E66BD4" w:rsidP="007F474A">
      <w:pPr>
        <w:pStyle w:val="Prrafodelista"/>
        <w:numPr>
          <w:ilvl w:val="0"/>
          <w:numId w:val="3"/>
        </w:numPr>
        <w:spacing w:line="240" w:lineRule="auto"/>
        <w:jc w:val="both"/>
        <w:rPr>
          <w:b/>
          <w:lang w:val="es-ES"/>
        </w:rPr>
      </w:pPr>
      <w:r w:rsidRPr="00BF2D8A">
        <w:rPr>
          <w:b/>
          <w:lang w:val="es-ES"/>
        </w:rPr>
        <w:t>En el artículo 3, se observa lo siguiente en cuanto los principios:</w:t>
      </w:r>
    </w:p>
    <w:p w14:paraId="5EBDA963" w14:textId="4CD3D423" w:rsidR="00E66BD4" w:rsidRDefault="00E66BD4" w:rsidP="007F474A">
      <w:pPr>
        <w:pStyle w:val="Prrafodelista"/>
        <w:numPr>
          <w:ilvl w:val="0"/>
          <w:numId w:val="2"/>
        </w:numPr>
        <w:spacing w:line="240" w:lineRule="auto"/>
        <w:jc w:val="both"/>
        <w:rPr>
          <w:lang w:val="es-ES"/>
        </w:rPr>
      </w:pPr>
      <w:r>
        <w:rPr>
          <w:lang w:val="es-ES"/>
        </w:rPr>
        <w:t xml:space="preserve">8. Quienes ejercen la función pública se encuentran sujetos a un mayor escrutinio por parte de la sociedad que quienes no ejercen tales funciones. </w:t>
      </w:r>
    </w:p>
    <w:p w14:paraId="03AB23D0" w14:textId="1C7858F6" w:rsidR="00E66BD4" w:rsidRDefault="00046214" w:rsidP="007F474A">
      <w:pPr>
        <w:pStyle w:val="Prrafodelista"/>
        <w:numPr>
          <w:ilvl w:val="0"/>
          <w:numId w:val="2"/>
        </w:numPr>
        <w:spacing w:line="240" w:lineRule="auto"/>
        <w:jc w:val="both"/>
        <w:rPr>
          <w:lang w:val="es-ES"/>
        </w:rPr>
      </w:pPr>
      <w:r>
        <w:rPr>
          <w:lang w:val="es-ES"/>
        </w:rPr>
        <w:t xml:space="preserve">13. El ejercicio de la actividad periodística y de comunicación debe regirse por estándares éticos </w:t>
      </w:r>
      <w:r w:rsidRPr="00D80D53">
        <w:rPr>
          <w:lang w:val="es-ES"/>
        </w:rPr>
        <w:t xml:space="preserve">y de autorregulación, en ningún caso por estándares o regulaciones impuestas por el Estado. </w:t>
      </w:r>
    </w:p>
    <w:p w14:paraId="4FF99581" w14:textId="45155177" w:rsidR="005C685B" w:rsidRDefault="005C685B" w:rsidP="007F474A">
      <w:pPr>
        <w:pStyle w:val="Prrafodelista"/>
        <w:numPr>
          <w:ilvl w:val="0"/>
          <w:numId w:val="2"/>
        </w:numPr>
        <w:spacing w:line="240" w:lineRule="auto"/>
        <w:jc w:val="both"/>
        <w:rPr>
          <w:lang w:val="es-ES"/>
        </w:rPr>
      </w:pPr>
      <w:r>
        <w:rPr>
          <w:lang w:val="es-ES"/>
        </w:rPr>
        <w:t xml:space="preserve">15. Ningún medio de comunicación, periodista o comunicador podrá ser sancionado por opinar o formular críticas o denuncias contra el poder público. No podrá iniciarse en contra de ellos procedimientos penales, de ninguna naturaleza, por sus opiniones. Su responsabilidad ulterior será de naturaleza civil exclusivamente. </w:t>
      </w:r>
    </w:p>
    <w:p w14:paraId="17F92CC4" w14:textId="67EE7EC6" w:rsidR="00046214" w:rsidRPr="00BF2D8A" w:rsidRDefault="00291677" w:rsidP="007F474A">
      <w:pPr>
        <w:pStyle w:val="Prrafodelista"/>
        <w:numPr>
          <w:ilvl w:val="0"/>
          <w:numId w:val="3"/>
        </w:numPr>
        <w:spacing w:line="240" w:lineRule="auto"/>
        <w:jc w:val="both"/>
        <w:rPr>
          <w:lang w:val="es-ES"/>
        </w:rPr>
      </w:pPr>
      <w:r w:rsidRPr="00BF2D8A">
        <w:rPr>
          <w:lang w:val="es-ES"/>
        </w:rPr>
        <w:t>Se cambia el nombre de la ley de “Ley Orgánica de Comunicación” a “Ley de Publicidad, Producción Nacional y Espectro Radioeléctrico”.</w:t>
      </w:r>
      <w:r w:rsidR="007B453F">
        <w:rPr>
          <w:lang w:val="es-ES"/>
        </w:rPr>
        <w:t xml:space="preserve"> Este título contradice el propósito de la ley y no cumple con el carácter de orgánica.</w:t>
      </w:r>
    </w:p>
    <w:p w14:paraId="60D4BB2A" w14:textId="6BBE78D5" w:rsidR="007033D8" w:rsidRDefault="00E66BD4" w:rsidP="007F474A">
      <w:pPr>
        <w:spacing w:line="240" w:lineRule="auto"/>
        <w:jc w:val="both"/>
        <w:rPr>
          <w:b/>
          <w:lang w:val="es-ES"/>
        </w:rPr>
      </w:pPr>
      <w:r>
        <w:rPr>
          <w:b/>
          <w:lang w:val="es-ES"/>
        </w:rPr>
        <w:t>A</w:t>
      </w:r>
      <w:r w:rsidR="008A5237">
        <w:rPr>
          <w:b/>
          <w:lang w:val="es-ES"/>
        </w:rPr>
        <w:t xml:space="preserve">NÁLISIS: </w:t>
      </w:r>
    </w:p>
    <w:p w14:paraId="41E00CDB" w14:textId="24C299CC" w:rsidR="001F21F2" w:rsidRPr="001F21F2" w:rsidRDefault="00730D65" w:rsidP="007F474A">
      <w:pPr>
        <w:spacing w:line="240" w:lineRule="auto"/>
        <w:jc w:val="both"/>
        <w:rPr>
          <w:lang w:val="es-ES"/>
        </w:rPr>
      </w:pPr>
      <w:r>
        <w:rPr>
          <w:lang w:val="es-ES"/>
        </w:rPr>
        <w:t>En la parte considerativa</w:t>
      </w:r>
      <w:r w:rsidR="003F152B">
        <w:rPr>
          <w:lang w:val="es-ES"/>
        </w:rPr>
        <w:t xml:space="preserve"> (6to párrafo)</w:t>
      </w:r>
      <w:r>
        <w:rPr>
          <w:lang w:val="es-ES"/>
        </w:rPr>
        <w:t xml:space="preserve"> de la norma propuesta se cita </w:t>
      </w:r>
      <w:r w:rsidR="003F152B">
        <w:rPr>
          <w:lang w:val="es-ES"/>
        </w:rPr>
        <w:t>e</w:t>
      </w:r>
      <w:r>
        <w:rPr>
          <w:lang w:val="es-ES"/>
        </w:rPr>
        <w:t>l</w:t>
      </w:r>
      <w:r w:rsidR="003F152B">
        <w:rPr>
          <w:lang w:val="es-ES"/>
        </w:rPr>
        <w:t xml:space="preserve"> artículo 19 del</w:t>
      </w:r>
      <w:r>
        <w:rPr>
          <w:lang w:val="es-ES"/>
        </w:rPr>
        <w:t xml:space="preserve"> </w:t>
      </w:r>
      <w:r w:rsidR="0039098F" w:rsidRPr="00595B36">
        <w:rPr>
          <w:lang w:val="es-ES"/>
        </w:rPr>
        <w:t>Pacto Internacional de Derechos Civiles y Políticos de las Naciones Unidas</w:t>
      </w:r>
      <w:r w:rsidR="003F152B">
        <w:rPr>
          <w:lang w:val="es-ES"/>
        </w:rPr>
        <w:t>, que establece:</w:t>
      </w:r>
      <w:r w:rsidR="001F21F2">
        <w:rPr>
          <w:lang w:val="es-ES"/>
        </w:rPr>
        <w:t xml:space="preserve"> </w:t>
      </w:r>
      <w:r w:rsidR="003F152B" w:rsidRPr="003F152B">
        <w:rPr>
          <w:i/>
          <w:lang w:val="es-ES"/>
        </w:rPr>
        <w:t>“</w:t>
      </w:r>
      <w:r w:rsidR="001F21F2" w:rsidRPr="003F152B">
        <w:rPr>
          <w:i/>
          <w:lang w:val="es-ES"/>
        </w:rPr>
        <w:t>1. Nadie podrá ser molestado a causa de sus opiniones.</w:t>
      </w:r>
      <w:r w:rsidR="003F152B" w:rsidRPr="003F152B">
        <w:rPr>
          <w:i/>
          <w:lang w:val="es-ES"/>
        </w:rPr>
        <w:t>”</w:t>
      </w:r>
      <w:r w:rsidR="009D55BA">
        <w:rPr>
          <w:lang w:val="es-ES"/>
        </w:rPr>
        <w:t xml:space="preserve"> </w:t>
      </w:r>
      <w:r w:rsidR="001F21F2">
        <w:rPr>
          <w:lang w:val="es-ES"/>
        </w:rPr>
        <w:t>Sin embargo, n</w:t>
      </w:r>
      <w:r w:rsidR="00B530FF">
        <w:rPr>
          <w:lang w:val="es-ES"/>
        </w:rPr>
        <w:t>o se cita</w:t>
      </w:r>
      <w:r w:rsidR="00C80382">
        <w:rPr>
          <w:lang w:val="es-ES"/>
        </w:rPr>
        <w:t xml:space="preserve"> el numeral </w:t>
      </w:r>
      <w:r w:rsidR="001F21F2" w:rsidRPr="001F21F2">
        <w:rPr>
          <w:lang w:val="es-ES"/>
        </w:rPr>
        <w:t>3</w:t>
      </w:r>
      <w:r w:rsidR="00C80382">
        <w:rPr>
          <w:lang w:val="es-ES"/>
        </w:rPr>
        <w:t xml:space="preserve"> del mismo artículo: “</w:t>
      </w:r>
      <w:r w:rsidR="001F21F2" w:rsidRPr="001F21F2">
        <w:rPr>
          <w:lang w:val="es-ES"/>
        </w:rPr>
        <w:t>El ejercicio del derecho previsto en el párrafo 2</w:t>
      </w:r>
      <w:r w:rsidR="001F21F2">
        <w:rPr>
          <w:lang w:val="es-ES"/>
        </w:rPr>
        <w:t xml:space="preserve"> de este artículo</w:t>
      </w:r>
      <w:r w:rsidR="001F21F2" w:rsidRPr="001F21F2">
        <w:rPr>
          <w:lang w:val="es-ES"/>
        </w:rPr>
        <w:t xml:space="preserve"> </w:t>
      </w:r>
      <w:r w:rsidR="001F21F2">
        <w:rPr>
          <w:i/>
          <w:lang w:val="es-ES"/>
        </w:rPr>
        <w:t>(libertad de expresión)</w:t>
      </w:r>
      <w:r w:rsidR="001F21F2" w:rsidRPr="001F21F2">
        <w:rPr>
          <w:lang w:val="es-ES"/>
        </w:rPr>
        <w:t xml:space="preserve"> entraña deberes y responsabilidades especiales. Por consiguiente, puede estar sujeto a ciertas restricciones, que deberán, sin embargo, estar expresamente fijadas por la ley y ser necesarias para: a) Asegurar el respeto a los derechos o a la reputación de los demás; b) La protección de la seguridad nacional, el orden público o la salud o la moral públicas.</w:t>
      </w:r>
    </w:p>
    <w:p w14:paraId="740E05B5" w14:textId="2B67CD03" w:rsidR="00000642" w:rsidRPr="00FE48E8" w:rsidRDefault="00730D65" w:rsidP="007F474A">
      <w:pPr>
        <w:spacing w:line="240" w:lineRule="auto"/>
        <w:jc w:val="both"/>
        <w:rPr>
          <w:lang w:val="es-ES"/>
        </w:rPr>
      </w:pPr>
      <w:r>
        <w:rPr>
          <w:lang w:val="es-ES"/>
        </w:rPr>
        <w:t>En ese sentido, p</w:t>
      </w:r>
      <w:r w:rsidR="00000642" w:rsidRPr="00000642">
        <w:rPr>
          <w:lang w:val="es-ES"/>
        </w:rPr>
        <w:t xml:space="preserve">ara interpretar el artículo de la propuesta que establece: </w:t>
      </w:r>
      <w:r w:rsidR="00752D1A" w:rsidRPr="00FE48E8">
        <w:rPr>
          <w:i/>
          <w:lang w:val="es-ES"/>
        </w:rPr>
        <w:t>“</w:t>
      </w:r>
      <w:r w:rsidR="00000642" w:rsidRPr="00FE48E8">
        <w:rPr>
          <w:i/>
          <w:lang w:val="es-ES"/>
        </w:rPr>
        <w:t>8. Quienes ejercen la función pública se encuentran sujetos a un mayor escrutinio por parte de la sociedad que quienes no ejercen tales funciones.</w:t>
      </w:r>
      <w:r w:rsidR="00752D1A" w:rsidRPr="00FE48E8">
        <w:rPr>
          <w:i/>
          <w:lang w:val="es-ES"/>
        </w:rPr>
        <w:t>”</w:t>
      </w:r>
      <w:r w:rsidR="00FE48E8">
        <w:rPr>
          <w:i/>
          <w:lang w:val="es-ES"/>
        </w:rPr>
        <w:t xml:space="preserve">, </w:t>
      </w:r>
      <w:r w:rsidR="00356574">
        <w:rPr>
          <w:lang w:val="es-ES"/>
        </w:rPr>
        <w:t xml:space="preserve">queda un vacío sobre </w:t>
      </w:r>
      <w:r w:rsidR="00FE48E8">
        <w:rPr>
          <w:lang w:val="es-ES"/>
        </w:rPr>
        <w:t>los derechos de igualdad, así como el acceso a los medios de comunicación</w:t>
      </w:r>
      <w:r w:rsidR="003F152B">
        <w:rPr>
          <w:lang w:val="es-ES"/>
        </w:rPr>
        <w:t xml:space="preserve"> y su composición sistémica conforme lo establece el artículo</w:t>
      </w:r>
      <w:r w:rsidR="00FE48E8">
        <w:rPr>
          <w:lang w:val="es-ES"/>
        </w:rPr>
        <w:t xml:space="preserve"> </w:t>
      </w:r>
      <w:r w:rsidR="003F152B">
        <w:rPr>
          <w:lang w:val="es-ES"/>
        </w:rPr>
        <w:t xml:space="preserve">384 de la Constitución de la República. </w:t>
      </w:r>
    </w:p>
    <w:p w14:paraId="07D62DCF" w14:textId="48A7D89F" w:rsidR="009D5414" w:rsidRDefault="00525F10" w:rsidP="007F474A">
      <w:pPr>
        <w:spacing w:line="240" w:lineRule="auto"/>
        <w:jc w:val="both"/>
        <w:rPr>
          <w:lang w:val="es-ES"/>
        </w:rPr>
      </w:pPr>
      <w:r>
        <w:rPr>
          <w:lang w:val="es-ES"/>
        </w:rPr>
        <w:t>Cabe considerar que</w:t>
      </w:r>
      <w:r w:rsidR="009D5414">
        <w:rPr>
          <w:lang w:val="es-ES"/>
        </w:rPr>
        <w:t xml:space="preserve"> mediante consulta popular de mayo de 2011, se estableció la siguiente pregunta: </w:t>
      </w:r>
      <w:r w:rsidR="009D5414" w:rsidRPr="009D5414">
        <w:rPr>
          <w:i/>
          <w:lang w:val="es-ES"/>
        </w:rPr>
        <w:t>¿Está usted de acuerdo que la Asamblea Nacional, sin dilaciones, dentro del plazo establecido en la Ley Orgánica de la Función Legislativa, expida una Ley de Comunicación que cree un Consejo de Regulación que regule la difusión de contenidos en la televisión, radio y publicaciones de prensa escrita que contengan mensajes de violencia, explícitamente sexuales o discriminatorios, y que establezca criterios de responsabilidad ulterior de los comunicadores o los medios de emisores?</w:t>
      </w:r>
      <w:r w:rsidR="009D5414">
        <w:rPr>
          <w:lang w:val="es-ES"/>
        </w:rPr>
        <w:t xml:space="preserve"> Esta obtuvo una aprobación de 51.68% que votó por el SI y el restante 48.32% que votó por el N</w:t>
      </w:r>
      <w:r w:rsidR="00FF6CC5">
        <w:rPr>
          <w:lang w:val="es-ES"/>
        </w:rPr>
        <w:t>O</w:t>
      </w:r>
      <w:r w:rsidR="009D5414">
        <w:rPr>
          <w:lang w:val="es-ES"/>
        </w:rPr>
        <w:t xml:space="preserve">, según la publicación de la proclamación de resultados en el Registro Oficial No. 490 de 13 de julio de 2011, página 35. </w:t>
      </w:r>
      <w:r w:rsidR="005219AB">
        <w:rPr>
          <w:lang w:val="es-ES"/>
        </w:rPr>
        <w:t xml:space="preserve"> </w:t>
      </w:r>
    </w:p>
    <w:p w14:paraId="30E8475D" w14:textId="3C2A0215" w:rsidR="009D5414" w:rsidRDefault="00525F10" w:rsidP="007F474A">
      <w:pPr>
        <w:spacing w:line="240" w:lineRule="auto"/>
        <w:jc w:val="both"/>
        <w:rPr>
          <w:lang w:val="es-ES"/>
        </w:rPr>
      </w:pPr>
      <w:r>
        <w:rPr>
          <w:lang w:val="es-ES"/>
        </w:rPr>
        <w:t xml:space="preserve">Esto de conformidad al artículo 384 obliga contar con una norma que defina “su organización, funcionamiento y las formas de participación ciudadana”. Por tal razón, como se propone la normativa al derogar los artículos correspondientes a dicha </w:t>
      </w:r>
      <w:r w:rsidR="00761A0D">
        <w:rPr>
          <w:lang w:val="es-ES"/>
        </w:rPr>
        <w:t>institución,</w:t>
      </w:r>
      <w:r>
        <w:rPr>
          <w:lang w:val="es-ES"/>
        </w:rPr>
        <w:t xml:space="preserve"> queda clara la inobservancia a este precepto</w:t>
      </w:r>
      <w:r w:rsidR="008B6F73">
        <w:rPr>
          <w:lang w:val="es-ES"/>
        </w:rPr>
        <w:t xml:space="preserve">. Sin embargo, </w:t>
      </w:r>
      <w:r>
        <w:rPr>
          <w:lang w:val="es-ES"/>
        </w:rPr>
        <w:t>la</w:t>
      </w:r>
      <w:r w:rsidR="009405B5">
        <w:rPr>
          <w:lang w:val="es-ES"/>
        </w:rPr>
        <w:t xml:space="preserve"> </w:t>
      </w:r>
      <w:r>
        <w:rPr>
          <w:lang w:val="es-ES"/>
        </w:rPr>
        <w:t xml:space="preserve">consulta popular establecía que esta es competencia </w:t>
      </w:r>
      <w:r w:rsidR="009405B5">
        <w:rPr>
          <w:lang w:val="es-ES"/>
        </w:rPr>
        <w:t>en el marco de l</w:t>
      </w:r>
      <w:r>
        <w:rPr>
          <w:lang w:val="es-ES"/>
        </w:rPr>
        <w:t xml:space="preserve">a Ley Orgánica de la Función Legislativa, por tanto, es a esta función del Estado que le corresponde </w:t>
      </w:r>
      <w:r w:rsidR="009405B5">
        <w:rPr>
          <w:lang w:val="es-ES"/>
        </w:rPr>
        <w:t>incorporar las disposiciones que permitan cumplir con la Constitución de la República,</w:t>
      </w:r>
      <w:r>
        <w:rPr>
          <w:lang w:val="es-ES"/>
        </w:rPr>
        <w:t xml:space="preserve"> aunque el presidente de la República en su proyecto no lo haya previsto. </w:t>
      </w:r>
    </w:p>
    <w:p w14:paraId="1BA22450" w14:textId="3508C6FA" w:rsidR="00B530FF" w:rsidRDefault="008845CC" w:rsidP="007F474A">
      <w:pPr>
        <w:spacing w:line="240" w:lineRule="auto"/>
        <w:jc w:val="both"/>
        <w:rPr>
          <w:lang w:val="es-ES"/>
        </w:rPr>
      </w:pPr>
      <w:r>
        <w:rPr>
          <w:lang w:val="es-ES"/>
        </w:rPr>
        <w:t>S</w:t>
      </w:r>
      <w:r w:rsidR="00525F10">
        <w:rPr>
          <w:lang w:val="es-ES"/>
        </w:rPr>
        <w:t xml:space="preserve">e observa </w:t>
      </w:r>
      <w:r w:rsidR="00DA7042">
        <w:rPr>
          <w:lang w:val="es-ES"/>
        </w:rPr>
        <w:t xml:space="preserve">así mismo </w:t>
      </w:r>
      <w:r w:rsidR="00525F10">
        <w:rPr>
          <w:lang w:val="es-ES"/>
        </w:rPr>
        <w:t xml:space="preserve">que a pesar de que la norma toma su denominación al </w:t>
      </w:r>
      <w:r w:rsidR="009405B5">
        <w:rPr>
          <w:lang w:val="es-ES"/>
        </w:rPr>
        <w:t>“</w:t>
      </w:r>
      <w:r w:rsidR="00525F10">
        <w:rPr>
          <w:lang w:val="es-ES"/>
        </w:rPr>
        <w:t>Espectro Radioeléctrico</w:t>
      </w:r>
      <w:r w:rsidR="009405B5">
        <w:rPr>
          <w:lang w:val="es-ES"/>
        </w:rPr>
        <w:t>”</w:t>
      </w:r>
      <w:r w:rsidR="00525F10">
        <w:rPr>
          <w:lang w:val="es-ES"/>
        </w:rPr>
        <w:t>, al derogar</w:t>
      </w:r>
      <w:r w:rsidR="009405B5">
        <w:rPr>
          <w:lang w:val="es-ES"/>
        </w:rPr>
        <w:t xml:space="preserve"> los artículos, quedaría un vacío sobre est</w:t>
      </w:r>
      <w:r w:rsidR="00761A0D">
        <w:rPr>
          <w:lang w:val="es-ES"/>
        </w:rPr>
        <w:t>o, t</w:t>
      </w:r>
      <w:r w:rsidR="009405B5">
        <w:rPr>
          <w:lang w:val="es-ES"/>
        </w:rPr>
        <w:t xml:space="preserve">ambién </w:t>
      </w:r>
      <w:r w:rsidR="00B340BB">
        <w:rPr>
          <w:lang w:val="es-ES"/>
        </w:rPr>
        <w:t>inobservando el ordenamiento constitucional de</w:t>
      </w:r>
      <w:r w:rsidR="009405B5">
        <w:rPr>
          <w:lang w:val="es-ES"/>
        </w:rPr>
        <w:t xml:space="preserve"> este recurso</w:t>
      </w:r>
      <w:r w:rsidR="00B340BB">
        <w:rPr>
          <w:lang w:val="es-ES"/>
        </w:rPr>
        <w:t xml:space="preserve"> estratégico</w:t>
      </w:r>
      <w:r w:rsidR="009405B5">
        <w:rPr>
          <w:lang w:val="es-ES"/>
        </w:rPr>
        <w:t xml:space="preserve"> conforme </w:t>
      </w:r>
      <w:r w:rsidR="00B340BB">
        <w:rPr>
          <w:lang w:val="es-ES"/>
        </w:rPr>
        <w:t>a los</w:t>
      </w:r>
      <w:r w:rsidR="009405B5">
        <w:rPr>
          <w:lang w:val="es-ES"/>
        </w:rPr>
        <w:t xml:space="preserve"> artículos 16.3, 17.1, </w:t>
      </w:r>
      <w:r w:rsidR="00CF4BC4">
        <w:rPr>
          <w:lang w:val="es-ES"/>
        </w:rPr>
        <w:t>261.10, 313 y 408</w:t>
      </w:r>
      <w:r w:rsidR="00B340BB">
        <w:rPr>
          <w:lang w:val="es-ES"/>
        </w:rPr>
        <w:t xml:space="preserve"> de la Constitución de la República.</w:t>
      </w:r>
    </w:p>
    <w:p w14:paraId="73F8CA0A" w14:textId="3E534E9B" w:rsidR="00B530FF" w:rsidRDefault="002345B3" w:rsidP="007F474A">
      <w:pPr>
        <w:spacing w:line="240" w:lineRule="auto"/>
        <w:jc w:val="both"/>
        <w:rPr>
          <w:lang w:val="es-ES"/>
        </w:rPr>
      </w:pPr>
      <w:r>
        <w:rPr>
          <w:lang w:val="es-ES"/>
        </w:rPr>
        <w:t>Adicionalmente,</w:t>
      </w:r>
      <w:r w:rsidR="00B340BB">
        <w:rPr>
          <w:lang w:val="es-ES"/>
        </w:rPr>
        <w:t xml:space="preserve"> cabe observar que el Estado tiene obligaciones constitucionales con respecto al fomento de la pluralidad y la diversidad en la comunicación (Art. 17, Constitución de la República), por lo tanto</w:t>
      </w:r>
      <w:r w:rsidR="003E0C65">
        <w:rPr>
          <w:lang w:val="es-ES"/>
        </w:rPr>
        <w:t>,</w:t>
      </w:r>
      <w:r w:rsidR="00B340BB">
        <w:rPr>
          <w:lang w:val="es-ES"/>
        </w:rPr>
        <w:t xml:space="preserve"> se debe tener en cuenta las obligaciones </w:t>
      </w:r>
      <w:r w:rsidR="0086097D">
        <w:rPr>
          <w:lang w:val="es-ES"/>
        </w:rPr>
        <w:t>expuestas a continuación</w:t>
      </w:r>
      <w:r w:rsidR="00B340BB">
        <w:rPr>
          <w:lang w:val="es-ES"/>
        </w:rPr>
        <w:t xml:space="preserve">: </w:t>
      </w:r>
    </w:p>
    <w:p w14:paraId="6FC4B171" w14:textId="061FE87D" w:rsidR="00B340BB" w:rsidRPr="00B340BB" w:rsidRDefault="00B340BB" w:rsidP="007F474A">
      <w:pPr>
        <w:autoSpaceDE w:val="0"/>
        <w:autoSpaceDN w:val="0"/>
        <w:adjustRightInd w:val="0"/>
        <w:spacing w:after="0" w:line="240" w:lineRule="auto"/>
        <w:ind w:left="284"/>
        <w:jc w:val="both"/>
        <w:rPr>
          <w:rFonts w:ascii="Arial" w:hAnsi="Arial" w:cs="Arial"/>
          <w:i/>
          <w:sz w:val="18"/>
          <w:szCs w:val="18"/>
          <w:lang w:val="es-ES"/>
        </w:rPr>
      </w:pPr>
      <w:r w:rsidRPr="00B340BB">
        <w:rPr>
          <w:rFonts w:ascii="Arial" w:hAnsi="Arial" w:cs="Arial"/>
          <w:sz w:val="18"/>
          <w:szCs w:val="18"/>
          <w:lang w:val="es-ES"/>
        </w:rPr>
        <w:t>1</w:t>
      </w:r>
      <w:r w:rsidRPr="00B340BB">
        <w:rPr>
          <w:rFonts w:ascii="Arial" w:hAnsi="Arial" w:cs="Arial"/>
          <w:i/>
          <w:sz w:val="18"/>
          <w:szCs w:val="18"/>
          <w:lang w:val="es-ES"/>
        </w:rPr>
        <w:t>. Garantizará la asignación, a través de métodos transparentes y en igualdad de condiciones, de las frecuencias del espectro radioeléctrico, para la gestión de estaciones de radio y televisión públicas, privadas y comunitarias, así como el acceso a bandas libres para la explotación de redes inalámbricas, y precautelará que en su utilización prevalezca el interés colectivo.</w:t>
      </w:r>
    </w:p>
    <w:p w14:paraId="7FB1DFE1" w14:textId="3405E273" w:rsidR="00B340BB" w:rsidRPr="00B340BB" w:rsidRDefault="00B340BB" w:rsidP="007F474A">
      <w:pPr>
        <w:autoSpaceDE w:val="0"/>
        <w:autoSpaceDN w:val="0"/>
        <w:adjustRightInd w:val="0"/>
        <w:spacing w:after="0" w:line="240" w:lineRule="auto"/>
        <w:ind w:left="284"/>
        <w:jc w:val="both"/>
        <w:rPr>
          <w:rFonts w:ascii="Arial" w:hAnsi="Arial" w:cs="Arial"/>
          <w:i/>
          <w:sz w:val="18"/>
          <w:szCs w:val="18"/>
          <w:lang w:val="es-ES"/>
        </w:rPr>
      </w:pPr>
      <w:r w:rsidRPr="00B340BB">
        <w:rPr>
          <w:rFonts w:ascii="Arial" w:hAnsi="Arial" w:cs="Arial"/>
          <w:i/>
          <w:sz w:val="18"/>
          <w:szCs w:val="18"/>
          <w:lang w:val="es-ES"/>
        </w:rPr>
        <w:t>2. Facilitará la creación y el fortalecimiento de medios de comunicación públicos, privados y</w:t>
      </w:r>
      <w:r>
        <w:rPr>
          <w:rFonts w:ascii="Arial" w:hAnsi="Arial" w:cs="Arial"/>
          <w:i/>
          <w:sz w:val="18"/>
          <w:szCs w:val="18"/>
          <w:lang w:val="es-ES"/>
        </w:rPr>
        <w:t xml:space="preserve"> </w:t>
      </w:r>
      <w:r w:rsidRPr="00B340BB">
        <w:rPr>
          <w:rFonts w:ascii="Arial" w:hAnsi="Arial" w:cs="Arial"/>
          <w:i/>
          <w:sz w:val="18"/>
          <w:szCs w:val="18"/>
          <w:lang w:val="es-ES"/>
        </w:rPr>
        <w:t>comunitarios, así como el acceso universal a las tecnologías de información y comunicación en especial para las personas y colectividades que carezcan de dicho acceso o lo tengan de forma limitada.</w:t>
      </w:r>
    </w:p>
    <w:p w14:paraId="0FDEBDAB" w14:textId="6331A3F8" w:rsidR="00B340BB" w:rsidRPr="00B340BB" w:rsidRDefault="00B340BB" w:rsidP="007F474A">
      <w:pPr>
        <w:autoSpaceDE w:val="0"/>
        <w:autoSpaceDN w:val="0"/>
        <w:adjustRightInd w:val="0"/>
        <w:spacing w:after="0" w:line="240" w:lineRule="auto"/>
        <w:ind w:left="284"/>
        <w:jc w:val="both"/>
        <w:rPr>
          <w:rFonts w:ascii="Arial" w:hAnsi="Arial" w:cs="Arial"/>
          <w:i/>
          <w:sz w:val="18"/>
          <w:szCs w:val="18"/>
          <w:lang w:val="es-ES"/>
        </w:rPr>
      </w:pPr>
      <w:r w:rsidRPr="00B340BB">
        <w:rPr>
          <w:rFonts w:ascii="Arial" w:hAnsi="Arial" w:cs="Arial"/>
          <w:i/>
          <w:sz w:val="18"/>
          <w:szCs w:val="18"/>
          <w:lang w:val="es-ES"/>
        </w:rPr>
        <w:t>3. No permitirá el oligopolio o monopolio, directo ni indirecto, de la propiedad de los medios de comunicación y del uso de las frecuencias.</w:t>
      </w:r>
    </w:p>
    <w:p w14:paraId="026C3FCF" w14:textId="77777777" w:rsidR="00B340BB" w:rsidRPr="00B340BB" w:rsidRDefault="00B340BB" w:rsidP="007F474A">
      <w:pPr>
        <w:autoSpaceDE w:val="0"/>
        <w:autoSpaceDN w:val="0"/>
        <w:adjustRightInd w:val="0"/>
        <w:spacing w:after="0" w:line="240" w:lineRule="auto"/>
        <w:ind w:left="284"/>
        <w:jc w:val="both"/>
        <w:rPr>
          <w:i/>
          <w:lang w:val="es-ES"/>
        </w:rPr>
      </w:pPr>
    </w:p>
    <w:p w14:paraId="72F01CE7" w14:textId="2CDE873D" w:rsidR="00A93322" w:rsidRDefault="00761A0D" w:rsidP="007F474A">
      <w:pPr>
        <w:spacing w:line="240" w:lineRule="auto"/>
        <w:jc w:val="both"/>
        <w:rPr>
          <w:lang w:val="es-ES"/>
        </w:rPr>
      </w:pPr>
      <w:r>
        <w:rPr>
          <w:lang w:val="es-ES"/>
        </w:rPr>
        <w:t>Por otro lado, l</w:t>
      </w:r>
      <w:r w:rsidR="004547F4">
        <w:rPr>
          <w:lang w:val="es-ES"/>
        </w:rPr>
        <w:t xml:space="preserve">a responsabilidad ulterior </w:t>
      </w:r>
      <w:r w:rsidR="005C0ACF">
        <w:rPr>
          <w:lang w:val="es-ES"/>
        </w:rPr>
        <w:t>únicamente en</w:t>
      </w:r>
      <w:r w:rsidR="004547F4">
        <w:rPr>
          <w:lang w:val="es-ES"/>
        </w:rPr>
        <w:t xml:space="preserve"> materia civil,</w:t>
      </w:r>
      <w:r w:rsidR="002345B3">
        <w:rPr>
          <w:lang w:val="es-ES"/>
        </w:rPr>
        <w:t xml:space="preserve"> </w:t>
      </w:r>
      <w:r w:rsidR="004547F4">
        <w:rPr>
          <w:lang w:val="es-ES"/>
        </w:rPr>
        <w:t xml:space="preserve">congestionaría aún más el aparato </w:t>
      </w:r>
      <w:r w:rsidR="0086097D">
        <w:rPr>
          <w:lang w:val="es-ES"/>
        </w:rPr>
        <w:t>donde se tratarían estos caso</w:t>
      </w:r>
      <w:r w:rsidR="00484CE1">
        <w:rPr>
          <w:lang w:val="es-ES"/>
        </w:rPr>
        <w:t xml:space="preserve">s, lo </w:t>
      </w:r>
      <w:r>
        <w:rPr>
          <w:lang w:val="es-ES"/>
        </w:rPr>
        <w:t>que</w:t>
      </w:r>
      <w:r w:rsidR="00484CE1">
        <w:rPr>
          <w:lang w:val="es-ES"/>
        </w:rPr>
        <w:t xml:space="preserve"> incrementaría el número de causas y por ende las tasas de </w:t>
      </w:r>
      <w:r w:rsidR="002345B3">
        <w:rPr>
          <w:lang w:val="es-ES"/>
        </w:rPr>
        <w:t>congestión.</w:t>
      </w:r>
      <w:r w:rsidR="00484CE1">
        <w:rPr>
          <w:lang w:val="es-ES"/>
        </w:rPr>
        <w:t xml:space="preserve"> </w:t>
      </w:r>
    </w:p>
    <w:p w14:paraId="77691204" w14:textId="77777777" w:rsidR="005219AB" w:rsidRDefault="005219AB" w:rsidP="007F474A">
      <w:pPr>
        <w:spacing w:line="240" w:lineRule="auto"/>
        <w:jc w:val="both"/>
        <w:rPr>
          <w:lang w:val="es-ES"/>
        </w:rPr>
      </w:pPr>
      <w:r>
        <w:rPr>
          <w:lang w:val="es-ES"/>
        </w:rPr>
        <w:t>MODIFICACIONES A CONCEPTOS DE CENSURA PREVIA Y RESERVA DE LA FUENTE</w:t>
      </w:r>
    </w:p>
    <w:p w14:paraId="370E44EA" w14:textId="77777777" w:rsidR="005219AB" w:rsidRDefault="005219AB" w:rsidP="007F474A">
      <w:pPr>
        <w:spacing w:line="240" w:lineRule="auto"/>
        <w:jc w:val="both"/>
        <w:rPr>
          <w:b/>
          <w:lang w:val="es-ES"/>
        </w:rPr>
      </w:pPr>
    </w:p>
    <w:p w14:paraId="5B6AB7CA" w14:textId="14E52D79" w:rsidR="00DE4B15" w:rsidRPr="00730D65" w:rsidRDefault="00730D65" w:rsidP="007F474A">
      <w:pPr>
        <w:spacing w:line="240" w:lineRule="auto"/>
        <w:jc w:val="both"/>
        <w:rPr>
          <w:b/>
          <w:lang w:val="es-ES"/>
        </w:rPr>
      </w:pPr>
      <w:r w:rsidRPr="00730D65">
        <w:rPr>
          <w:b/>
          <w:lang w:val="es-ES"/>
        </w:rPr>
        <w:t>CONCLUS</w:t>
      </w:r>
      <w:r w:rsidR="007F474A">
        <w:rPr>
          <w:b/>
          <w:lang w:val="es-ES"/>
        </w:rPr>
        <w:t>IONES</w:t>
      </w:r>
      <w:r w:rsidRPr="00730D65">
        <w:rPr>
          <w:b/>
          <w:lang w:val="es-ES"/>
        </w:rPr>
        <w:t xml:space="preserve">: </w:t>
      </w:r>
    </w:p>
    <w:p w14:paraId="0CDED4D4" w14:textId="193D949C" w:rsidR="00730D65" w:rsidRDefault="00730D65" w:rsidP="007F474A">
      <w:pPr>
        <w:spacing w:line="240" w:lineRule="auto"/>
        <w:jc w:val="both"/>
        <w:rPr>
          <w:lang w:val="es-ES"/>
        </w:rPr>
      </w:pPr>
      <w:r>
        <w:rPr>
          <w:lang w:val="es-ES"/>
        </w:rPr>
        <w:t xml:space="preserve">La norma propuesta carece de aspectos constitucionales como la institucionalidad </w:t>
      </w:r>
      <w:r w:rsidR="00192BF5">
        <w:rPr>
          <w:lang w:val="es-ES"/>
        </w:rPr>
        <w:t xml:space="preserve">del sistema de comunicación </w:t>
      </w:r>
      <w:r w:rsidR="005C630C">
        <w:rPr>
          <w:lang w:val="es-ES"/>
        </w:rPr>
        <w:t xml:space="preserve">social </w:t>
      </w:r>
      <w:r>
        <w:rPr>
          <w:lang w:val="es-ES"/>
        </w:rPr>
        <w:t>que garantizará el cumplimiento de la norma, esta a raíz de la Constitución de la República y lo aprobado en la consulta popular de mayo de 2011</w:t>
      </w:r>
      <w:r w:rsidR="00FF6CC5">
        <w:rPr>
          <w:lang w:val="es-ES"/>
        </w:rPr>
        <w:t>.</w:t>
      </w:r>
      <w:r>
        <w:rPr>
          <w:lang w:val="es-ES"/>
        </w:rPr>
        <w:t xml:space="preserve"> </w:t>
      </w:r>
    </w:p>
    <w:p w14:paraId="04A0EA9F" w14:textId="129DCC1F" w:rsidR="00975684" w:rsidRDefault="004C7CF7" w:rsidP="007F474A">
      <w:pPr>
        <w:spacing w:line="240" w:lineRule="auto"/>
        <w:jc w:val="both"/>
        <w:rPr>
          <w:lang w:val="es-ES"/>
        </w:rPr>
      </w:pPr>
      <w:r>
        <w:rPr>
          <w:lang w:val="es-ES"/>
        </w:rPr>
        <w:t>Con respecto al</w:t>
      </w:r>
      <w:r w:rsidR="00975684">
        <w:rPr>
          <w:lang w:val="es-ES"/>
        </w:rPr>
        <w:t xml:space="preserve"> Consejo de Regulación, el mismo proyecto</w:t>
      </w:r>
      <w:r w:rsidR="007F474A">
        <w:rPr>
          <w:lang w:val="es-ES"/>
        </w:rPr>
        <w:t xml:space="preserve"> le</w:t>
      </w:r>
      <w:r w:rsidR="00975684">
        <w:rPr>
          <w:lang w:val="es-ES"/>
        </w:rPr>
        <w:t xml:space="preserve"> atribuye</w:t>
      </w:r>
      <w:r w:rsidR="00484CE1">
        <w:rPr>
          <w:lang w:val="es-ES"/>
        </w:rPr>
        <w:t xml:space="preserve"> ciertas funciones</w:t>
      </w:r>
      <w:r>
        <w:rPr>
          <w:lang w:val="es-ES"/>
        </w:rPr>
        <w:t xml:space="preserve">, </w:t>
      </w:r>
      <w:r w:rsidR="007F474A">
        <w:rPr>
          <w:lang w:val="es-ES"/>
        </w:rPr>
        <w:t xml:space="preserve">sim embargo, </w:t>
      </w:r>
      <w:r>
        <w:rPr>
          <w:lang w:val="es-ES"/>
        </w:rPr>
        <w:t xml:space="preserve">se derogan las disposiciones sobre su conformación, funcionamiento, entre otras, lo cual inobserva igualmente los parámetros de la consulta popular mencionada. </w:t>
      </w:r>
    </w:p>
    <w:p w14:paraId="45F26C84" w14:textId="1D6BF9DE" w:rsidR="004C7CF7" w:rsidRDefault="004C7CF7" w:rsidP="007F474A">
      <w:pPr>
        <w:spacing w:line="240" w:lineRule="auto"/>
        <w:jc w:val="both"/>
        <w:rPr>
          <w:lang w:val="es-ES"/>
        </w:rPr>
      </w:pPr>
      <w:r>
        <w:rPr>
          <w:lang w:val="es-ES"/>
        </w:rPr>
        <w:t>Así mismo, el espectro radioeléctrico se menciona en el título, empero no existe disposición alguna sobre su regulación, lo cual debe cumplir con parámetros constitucionales</w:t>
      </w:r>
      <w:r w:rsidR="007F474A">
        <w:rPr>
          <w:lang w:val="es-ES"/>
        </w:rPr>
        <w:t xml:space="preserve"> para democratizar su acceso y disponer sobre las obligaciones del Estado para democratizar su acceso. </w:t>
      </w:r>
    </w:p>
    <w:p w14:paraId="525D79A3" w14:textId="32200930" w:rsidR="007F474A" w:rsidRDefault="007F474A" w:rsidP="007F474A">
      <w:pPr>
        <w:spacing w:line="240" w:lineRule="auto"/>
        <w:jc w:val="both"/>
        <w:rPr>
          <w:lang w:val="es-ES"/>
        </w:rPr>
      </w:pPr>
      <w:r>
        <w:rPr>
          <w:lang w:val="es-ES"/>
        </w:rPr>
        <w:t xml:space="preserve">Se establece un tratamiento diferenciado que puede vulnerar los derechos a la igualdad con respecto a las personas que desempeñan funciones públicas. </w:t>
      </w:r>
    </w:p>
    <w:p w14:paraId="120D4EA2" w14:textId="0C1A45BC" w:rsidR="007F474A" w:rsidRDefault="007F474A" w:rsidP="007F474A">
      <w:pPr>
        <w:spacing w:line="240" w:lineRule="auto"/>
        <w:jc w:val="both"/>
        <w:rPr>
          <w:lang w:val="es-ES"/>
        </w:rPr>
      </w:pPr>
      <w:r>
        <w:rPr>
          <w:lang w:val="es-ES"/>
        </w:rPr>
        <w:t xml:space="preserve">De lo expuesto, se concluye que es necesario varias disposiciones con la finalidad de desarrollar el ordenamiento constitucional que busca fomentar la pluralidad de la información, el tratamiento igualitario en la comunicación social en base a los derechos y la reputación de las personas y la moral pública, entre otros aspectos que deben ser regulados por el Estado en cuanto a los límites de la libertad de expresión establecido en tratados internacionales y jurisprudencia. </w:t>
      </w:r>
    </w:p>
    <w:p w14:paraId="66F1E18F" w14:textId="77777777" w:rsidR="002109CB" w:rsidRDefault="002109CB" w:rsidP="007F474A">
      <w:pPr>
        <w:spacing w:line="240" w:lineRule="auto"/>
        <w:jc w:val="both"/>
        <w:rPr>
          <w:lang w:val="es-ES"/>
        </w:rPr>
      </w:pPr>
    </w:p>
    <w:p w14:paraId="7CE48458" w14:textId="7ADD9D56" w:rsidR="0001056D" w:rsidRDefault="00975684" w:rsidP="007F474A">
      <w:pPr>
        <w:spacing w:line="240" w:lineRule="auto"/>
        <w:jc w:val="both"/>
        <w:rPr>
          <w:b/>
          <w:lang w:val="es-ES"/>
        </w:rPr>
      </w:pPr>
      <w:r>
        <w:rPr>
          <w:b/>
          <w:lang w:val="es-ES"/>
        </w:rPr>
        <w:t xml:space="preserve">RECOMENDACIONES: </w:t>
      </w:r>
    </w:p>
    <w:p w14:paraId="16E695E0" w14:textId="49FCF174" w:rsidR="00975684" w:rsidRPr="00484CE1" w:rsidRDefault="00484CE1" w:rsidP="007F474A">
      <w:pPr>
        <w:pStyle w:val="Prrafodelista"/>
        <w:numPr>
          <w:ilvl w:val="0"/>
          <w:numId w:val="5"/>
        </w:numPr>
        <w:spacing w:line="240" w:lineRule="auto"/>
        <w:jc w:val="both"/>
        <w:rPr>
          <w:b/>
          <w:lang w:val="es-ES"/>
        </w:rPr>
      </w:pPr>
      <w:r w:rsidRPr="00484CE1">
        <w:rPr>
          <w:b/>
          <w:lang w:val="es-ES"/>
        </w:rPr>
        <w:t xml:space="preserve">Realizar un trabajo en coordinación con la Dirección de Comunicación del CONGOPE en los siguientes aspectos: </w:t>
      </w:r>
    </w:p>
    <w:p w14:paraId="75C2804B" w14:textId="30BFC71B" w:rsidR="00975684" w:rsidRDefault="00975684" w:rsidP="007F474A">
      <w:pPr>
        <w:spacing w:line="240" w:lineRule="auto"/>
        <w:jc w:val="both"/>
        <w:rPr>
          <w:lang w:val="es-ES"/>
        </w:rPr>
      </w:pPr>
      <w:r w:rsidRPr="007033D8">
        <w:rPr>
          <w:lang w:val="es-ES"/>
        </w:rPr>
        <w:t xml:space="preserve">Monitoreo de </w:t>
      </w:r>
      <w:proofErr w:type="gramStart"/>
      <w:r w:rsidRPr="007033D8">
        <w:rPr>
          <w:lang w:val="es-ES"/>
        </w:rPr>
        <w:t>medios.-</w:t>
      </w:r>
      <w:proofErr w:type="gramEnd"/>
      <w:r w:rsidRPr="007033D8">
        <w:rPr>
          <w:lang w:val="es-ES"/>
        </w:rPr>
        <w:t xml:space="preserve"> </w:t>
      </w:r>
      <w:r>
        <w:rPr>
          <w:lang w:val="es-ES"/>
        </w:rPr>
        <w:t xml:space="preserve">Recopilar casos en los que se haya mediatizado o politizado acciones de control o </w:t>
      </w:r>
      <w:r w:rsidR="00976914">
        <w:rPr>
          <w:lang w:val="es-ES"/>
        </w:rPr>
        <w:t>jurisdiccionales</w:t>
      </w:r>
      <w:r>
        <w:rPr>
          <w:lang w:val="es-ES"/>
        </w:rPr>
        <w:t xml:space="preserve">.- Por provincia, nombre de autoridad. </w:t>
      </w:r>
    </w:p>
    <w:p w14:paraId="2791C056" w14:textId="77777777" w:rsidR="00F729A6" w:rsidRDefault="00975684" w:rsidP="007F474A">
      <w:pPr>
        <w:spacing w:line="240" w:lineRule="auto"/>
        <w:jc w:val="both"/>
        <w:rPr>
          <w:lang w:val="es-ES"/>
        </w:rPr>
      </w:pPr>
      <w:r>
        <w:rPr>
          <w:lang w:val="es-ES"/>
        </w:rPr>
        <w:t xml:space="preserve">Comparar con los resultados judiciales la mediatización en prefectos o funcionarios de las prefecturas frente a los casos de mediatización del control y la judicialización. </w:t>
      </w:r>
      <w:r w:rsidR="00484CE1">
        <w:rPr>
          <w:lang w:val="es-ES"/>
        </w:rPr>
        <w:t>La Dirección de Asesoría Jurídica se encargar</w:t>
      </w:r>
      <w:r w:rsidR="00976914">
        <w:rPr>
          <w:lang w:val="es-ES"/>
        </w:rPr>
        <w:t>ía</w:t>
      </w:r>
      <w:r w:rsidR="00484CE1">
        <w:rPr>
          <w:lang w:val="es-ES"/>
        </w:rPr>
        <w:t xml:space="preserve"> de buscar las respectivas causas en el Sistema de la Función Judicial SATJE. </w:t>
      </w:r>
    </w:p>
    <w:p w14:paraId="23EB4E40" w14:textId="52BAB1AF" w:rsidR="00976914" w:rsidRDefault="00976914" w:rsidP="007F474A">
      <w:pPr>
        <w:spacing w:line="240" w:lineRule="auto"/>
        <w:jc w:val="both"/>
        <w:rPr>
          <w:lang w:val="es-ES"/>
        </w:rPr>
      </w:pPr>
      <w:r>
        <w:rPr>
          <w:lang w:val="es-ES"/>
        </w:rPr>
        <w:t xml:space="preserve">Recopilar informe sobre los GADP que disponen de medios </w:t>
      </w:r>
      <w:proofErr w:type="gramStart"/>
      <w:r>
        <w:rPr>
          <w:lang w:val="es-ES"/>
        </w:rPr>
        <w:t>públicos.-</w:t>
      </w:r>
      <w:proofErr w:type="gramEnd"/>
      <w:r>
        <w:rPr>
          <w:lang w:val="es-ES"/>
        </w:rPr>
        <w:t xml:space="preserve"> Por tipo, tiempo de conformación. Esto con el fin de conocer </w:t>
      </w:r>
      <w:r w:rsidR="002175AE">
        <w:rPr>
          <w:lang w:val="es-ES"/>
        </w:rPr>
        <w:t>la cantidad</w:t>
      </w:r>
      <w:r>
        <w:rPr>
          <w:lang w:val="es-ES"/>
        </w:rPr>
        <w:t xml:space="preserve"> de medios públicos </w:t>
      </w:r>
      <w:r w:rsidR="002175AE">
        <w:rPr>
          <w:lang w:val="es-ES"/>
        </w:rPr>
        <w:t>de los</w:t>
      </w:r>
      <w:r>
        <w:rPr>
          <w:lang w:val="es-ES"/>
        </w:rPr>
        <w:t xml:space="preserve"> gobiernos provinciales</w:t>
      </w:r>
      <w:r w:rsidR="002175AE">
        <w:rPr>
          <w:lang w:val="es-ES"/>
        </w:rPr>
        <w:t xml:space="preserve">, su personería, tiempo y otros datos necesarios para conocer la necesidad de promoverlos. </w:t>
      </w:r>
    </w:p>
    <w:p w14:paraId="3D7612F8" w14:textId="71E32E90" w:rsidR="00975684" w:rsidRDefault="00484CE1" w:rsidP="007F474A">
      <w:pPr>
        <w:pStyle w:val="Prrafodelista"/>
        <w:numPr>
          <w:ilvl w:val="0"/>
          <w:numId w:val="5"/>
        </w:numPr>
        <w:spacing w:line="240" w:lineRule="auto"/>
        <w:jc w:val="both"/>
        <w:rPr>
          <w:b/>
          <w:lang w:val="es-ES"/>
        </w:rPr>
      </w:pPr>
      <w:r>
        <w:rPr>
          <w:b/>
          <w:lang w:val="es-ES"/>
        </w:rPr>
        <w:t xml:space="preserve">Proponer a la asamblea las siguientes reformas: </w:t>
      </w:r>
    </w:p>
    <w:p w14:paraId="337E469F" w14:textId="05847F43" w:rsidR="00484CE1" w:rsidRPr="00484CE1" w:rsidRDefault="00484CE1" w:rsidP="007F474A">
      <w:pPr>
        <w:pStyle w:val="Prrafodelista"/>
        <w:numPr>
          <w:ilvl w:val="0"/>
          <w:numId w:val="6"/>
        </w:numPr>
        <w:spacing w:line="240" w:lineRule="auto"/>
        <w:ind w:left="1134"/>
        <w:jc w:val="both"/>
        <w:rPr>
          <w:lang w:val="es-ES"/>
        </w:rPr>
      </w:pPr>
      <w:r w:rsidRPr="00484CE1">
        <w:rPr>
          <w:lang w:val="es-ES"/>
        </w:rPr>
        <w:t>Mantener la institucionalidad</w:t>
      </w:r>
      <w:r w:rsidR="002345B3">
        <w:rPr>
          <w:lang w:val="es-ES"/>
        </w:rPr>
        <w:t xml:space="preserve"> del CORDICOM.</w:t>
      </w:r>
    </w:p>
    <w:p w14:paraId="685A0CD5" w14:textId="68CDD070" w:rsidR="00484CE1" w:rsidRDefault="00484CE1" w:rsidP="007F474A">
      <w:pPr>
        <w:pStyle w:val="Prrafodelista"/>
        <w:numPr>
          <w:ilvl w:val="0"/>
          <w:numId w:val="6"/>
        </w:numPr>
        <w:spacing w:line="240" w:lineRule="auto"/>
        <w:ind w:left="1134"/>
        <w:jc w:val="both"/>
        <w:rPr>
          <w:lang w:val="es-ES"/>
        </w:rPr>
      </w:pPr>
      <w:r w:rsidRPr="00484CE1">
        <w:rPr>
          <w:lang w:val="es-ES"/>
        </w:rPr>
        <w:t xml:space="preserve">Mantener la obligatoriedad de contar con el 34% de medios comunitarios. </w:t>
      </w:r>
      <w:r w:rsidR="002175AE">
        <w:rPr>
          <w:lang w:val="es-ES"/>
        </w:rPr>
        <w:t>Y s</w:t>
      </w:r>
      <w:r w:rsidR="005219AB">
        <w:rPr>
          <w:lang w:val="es-ES"/>
        </w:rPr>
        <w:t xml:space="preserve">e </w:t>
      </w:r>
      <w:r w:rsidR="002175AE">
        <w:rPr>
          <w:lang w:val="es-ES"/>
        </w:rPr>
        <w:t>promueva que el Estado genere condiciones de sostenibilidad económica.</w:t>
      </w:r>
    </w:p>
    <w:p w14:paraId="3AE92272" w14:textId="2A6F161A" w:rsidR="00484CE1" w:rsidRDefault="00484CE1" w:rsidP="007F474A">
      <w:pPr>
        <w:pStyle w:val="Prrafodelista"/>
        <w:numPr>
          <w:ilvl w:val="0"/>
          <w:numId w:val="6"/>
        </w:numPr>
        <w:spacing w:line="240" w:lineRule="auto"/>
        <w:ind w:left="1134"/>
        <w:jc w:val="both"/>
        <w:rPr>
          <w:lang w:val="es-ES"/>
        </w:rPr>
      </w:pPr>
      <w:r w:rsidRPr="00484CE1">
        <w:rPr>
          <w:lang w:val="es-ES"/>
        </w:rPr>
        <w:t>Fomentar la creación de medios públicos</w:t>
      </w:r>
      <w:r w:rsidR="002345B3">
        <w:rPr>
          <w:lang w:val="es-ES"/>
        </w:rPr>
        <w:t xml:space="preserve"> por parte de</w:t>
      </w:r>
      <w:r w:rsidRPr="00484CE1">
        <w:rPr>
          <w:lang w:val="es-ES"/>
        </w:rPr>
        <w:t xml:space="preserve"> los gobiernos autónomos descentralizados. </w:t>
      </w:r>
      <w:bookmarkStart w:id="0" w:name="_GoBack"/>
      <w:bookmarkEnd w:id="0"/>
    </w:p>
    <w:p w14:paraId="02AF9D25" w14:textId="39B6BF23" w:rsidR="005219AB" w:rsidRPr="00484CE1" w:rsidRDefault="005219AB" w:rsidP="007F474A">
      <w:pPr>
        <w:pStyle w:val="Prrafodelista"/>
        <w:numPr>
          <w:ilvl w:val="0"/>
          <w:numId w:val="6"/>
        </w:numPr>
        <w:spacing w:line="240" w:lineRule="auto"/>
        <w:ind w:left="1134"/>
        <w:jc w:val="both"/>
        <w:rPr>
          <w:lang w:val="es-ES"/>
        </w:rPr>
      </w:pPr>
      <w:r>
        <w:rPr>
          <w:lang w:val="es-ES"/>
        </w:rPr>
        <w:t>Debe aclararse el artículo 3, numeral 16</w:t>
      </w:r>
      <w:r w:rsidR="00CD2237">
        <w:rPr>
          <w:lang w:val="es-ES"/>
        </w:rPr>
        <w:t xml:space="preserve"> sobre licencias de importación</w:t>
      </w:r>
      <w:r>
        <w:rPr>
          <w:lang w:val="es-ES"/>
        </w:rPr>
        <w:t xml:space="preserve">. Mantener excepción de impuestos solo a medios comunitarios. </w:t>
      </w:r>
      <w:r w:rsidR="00CD2237">
        <w:rPr>
          <w:lang w:val="es-ES"/>
        </w:rPr>
        <w:t xml:space="preserve">Perjudica al fomento de medios comunitarios. </w:t>
      </w:r>
    </w:p>
    <w:p w14:paraId="11EF175C" w14:textId="39768333" w:rsidR="00484CE1" w:rsidRDefault="00484CE1" w:rsidP="007F474A">
      <w:pPr>
        <w:pStyle w:val="Prrafodelista"/>
        <w:numPr>
          <w:ilvl w:val="0"/>
          <w:numId w:val="6"/>
        </w:numPr>
        <w:spacing w:line="240" w:lineRule="auto"/>
        <w:ind w:left="1134"/>
        <w:jc w:val="both"/>
        <w:rPr>
          <w:lang w:val="es-ES"/>
        </w:rPr>
      </w:pPr>
      <w:r w:rsidRPr="00484CE1">
        <w:rPr>
          <w:lang w:val="es-ES"/>
        </w:rPr>
        <w:t xml:space="preserve">Mantener el delito de calumnia y </w:t>
      </w:r>
      <w:r w:rsidR="00930CA2" w:rsidRPr="00484CE1">
        <w:rPr>
          <w:lang w:val="es-ES"/>
        </w:rPr>
        <w:t>la contravención</w:t>
      </w:r>
      <w:r w:rsidRPr="00484CE1">
        <w:rPr>
          <w:lang w:val="es-ES"/>
        </w:rPr>
        <w:t xml:space="preserve"> por daño a la honra. </w:t>
      </w:r>
    </w:p>
    <w:p w14:paraId="12940C3A" w14:textId="1CBE6C56" w:rsidR="005219AB" w:rsidRDefault="005219AB" w:rsidP="007F474A">
      <w:pPr>
        <w:pStyle w:val="Prrafodelista"/>
        <w:numPr>
          <w:ilvl w:val="0"/>
          <w:numId w:val="6"/>
        </w:numPr>
        <w:spacing w:line="240" w:lineRule="auto"/>
        <w:ind w:left="1134"/>
        <w:jc w:val="both"/>
        <w:rPr>
          <w:lang w:val="es-ES"/>
        </w:rPr>
      </w:pPr>
      <w:r>
        <w:rPr>
          <w:lang w:val="es-ES"/>
        </w:rPr>
        <w:t xml:space="preserve">No hay seguridad jurídica en la adquisición de frecuencias, queda un vacío normativo. </w:t>
      </w:r>
    </w:p>
    <w:p w14:paraId="504ED8B6" w14:textId="0EF34823" w:rsidR="005219AB" w:rsidRDefault="005219AB" w:rsidP="007F474A">
      <w:pPr>
        <w:pStyle w:val="Prrafodelista"/>
        <w:numPr>
          <w:ilvl w:val="0"/>
          <w:numId w:val="6"/>
        </w:numPr>
        <w:spacing w:line="240" w:lineRule="auto"/>
        <w:ind w:left="1134"/>
        <w:jc w:val="both"/>
        <w:rPr>
          <w:lang w:val="es-ES"/>
        </w:rPr>
      </w:pPr>
      <w:r>
        <w:rPr>
          <w:lang w:val="es-ES"/>
        </w:rPr>
        <w:t xml:space="preserve">Formación superior de comunicador como requisito obligatorio para desempeñar actividades periodísticas. </w:t>
      </w:r>
    </w:p>
    <w:p w14:paraId="78399994" w14:textId="24CFDCA7" w:rsidR="007F474A" w:rsidRDefault="001D2843" w:rsidP="007F474A">
      <w:pPr>
        <w:spacing w:after="0" w:line="240" w:lineRule="auto"/>
        <w:jc w:val="both"/>
        <w:rPr>
          <w:lang w:val="es-ES"/>
        </w:rPr>
      </w:pPr>
      <w:r>
        <w:rPr>
          <w:lang w:val="es-ES"/>
        </w:rPr>
        <w:t xml:space="preserve">Documentos adjuntos en el siguiente link: </w:t>
      </w:r>
      <w:hyperlink r:id="rId11" w:history="1">
        <w:r w:rsidRPr="00CD4E94">
          <w:rPr>
            <w:rStyle w:val="Hipervnculo"/>
            <w:lang w:val="es-ES"/>
          </w:rPr>
          <w:t>https://cutt.ly/6QDWHZQ</w:t>
        </w:r>
      </w:hyperlink>
      <w:r>
        <w:rPr>
          <w:lang w:val="es-ES"/>
        </w:rPr>
        <w:t xml:space="preserve"> </w:t>
      </w:r>
    </w:p>
    <w:p w14:paraId="16441A1A" w14:textId="77777777" w:rsidR="001D2843" w:rsidRDefault="001D2843" w:rsidP="007F474A">
      <w:pPr>
        <w:spacing w:after="0" w:line="240" w:lineRule="auto"/>
        <w:jc w:val="both"/>
        <w:rPr>
          <w:lang w:val="es-ES"/>
        </w:rPr>
      </w:pPr>
    </w:p>
    <w:p w14:paraId="67BE1B74" w14:textId="5550C28A" w:rsidR="007F474A" w:rsidRDefault="007F474A" w:rsidP="007F474A">
      <w:pPr>
        <w:spacing w:after="0" w:line="240" w:lineRule="auto"/>
        <w:jc w:val="both"/>
        <w:rPr>
          <w:lang w:val="es-ES"/>
        </w:rPr>
      </w:pPr>
      <w:r>
        <w:rPr>
          <w:lang w:val="es-ES"/>
        </w:rPr>
        <w:t>Dirección de Asesoría Jurídica</w:t>
      </w:r>
    </w:p>
    <w:p w14:paraId="1CB57902" w14:textId="36BD3F51" w:rsidR="007F474A" w:rsidRDefault="007F474A" w:rsidP="007F474A">
      <w:pPr>
        <w:spacing w:after="0" w:line="240" w:lineRule="auto"/>
        <w:jc w:val="both"/>
        <w:rPr>
          <w:b/>
          <w:lang w:val="es-ES"/>
        </w:rPr>
      </w:pPr>
      <w:r w:rsidRPr="007F474A">
        <w:rPr>
          <w:b/>
          <w:lang w:val="es-ES"/>
        </w:rPr>
        <w:t>CONGOPE</w:t>
      </w:r>
    </w:p>
    <w:p w14:paraId="1F5B4028" w14:textId="77777777" w:rsidR="007F474A" w:rsidRDefault="007F474A" w:rsidP="007F474A">
      <w:pPr>
        <w:spacing w:after="0" w:line="240" w:lineRule="auto"/>
        <w:jc w:val="both"/>
        <w:rPr>
          <w:b/>
          <w:lang w:val="es-ES"/>
        </w:rPr>
      </w:pPr>
    </w:p>
    <w:tbl>
      <w:tblPr>
        <w:tblStyle w:val="Tablaconcuadrcula"/>
        <w:tblW w:w="0" w:type="auto"/>
        <w:tblLook w:val="04A0" w:firstRow="1" w:lastRow="0" w:firstColumn="1" w:lastColumn="0" w:noHBand="0" w:noVBand="1"/>
      </w:tblPr>
      <w:tblGrid>
        <w:gridCol w:w="3116"/>
        <w:gridCol w:w="3117"/>
        <w:gridCol w:w="1984"/>
      </w:tblGrid>
      <w:tr w:rsidR="007F474A" w14:paraId="1EAAFE1D" w14:textId="77777777" w:rsidTr="007F474A">
        <w:tc>
          <w:tcPr>
            <w:tcW w:w="3116" w:type="dxa"/>
            <w:shd w:val="clear" w:color="auto" w:fill="D9D9D9" w:themeFill="background1" w:themeFillShade="D9"/>
          </w:tcPr>
          <w:p w14:paraId="7E29286F" w14:textId="6C40558D" w:rsidR="007F474A" w:rsidRDefault="007F474A" w:rsidP="007F474A">
            <w:pPr>
              <w:jc w:val="both"/>
              <w:rPr>
                <w:b/>
                <w:lang w:val="es-ES"/>
              </w:rPr>
            </w:pPr>
            <w:r>
              <w:rPr>
                <w:b/>
                <w:lang w:val="es-ES"/>
              </w:rPr>
              <w:t>Acción</w:t>
            </w:r>
          </w:p>
        </w:tc>
        <w:tc>
          <w:tcPr>
            <w:tcW w:w="3117" w:type="dxa"/>
            <w:shd w:val="clear" w:color="auto" w:fill="D9D9D9" w:themeFill="background1" w:themeFillShade="D9"/>
          </w:tcPr>
          <w:p w14:paraId="0C011DF1" w14:textId="579104F7" w:rsidR="007F474A" w:rsidRDefault="007F474A" w:rsidP="007F474A">
            <w:pPr>
              <w:jc w:val="both"/>
              <w:rPr>
                <w:b/>
                <w:lang w:val="es-ES"/>
              </w:rPr>
            </w:pPr>
            <w:r>
              <w:rPr>
                <w:b/>
                <w:lang w:val="es-ES"/>
              </w:rPr>
              <w:t>Responsable</w:t>
            </w:r>
          </w:p>
        </w:tc>
        <w:tc>
          <w:tcPr>
            <w:tcW w:w="1984" w:type="dxa"/>
            <w:shd w:val="clear" w:color="auto" w:fill="D9D9D9" w:themeFill="background1" w:themeFillShade="D9"/>
          </w:tcPr>
          <w:p w14:paraId="21E66485" w14:textId="60128CDD" w:rsidR="007F474A" w:rsidRDefault="007F474A" w:rsidP="007F474A">
            <w:pPr>
              <w:jc w:val="both"/>
              <w:rPr>
                <w:b/>
                <w:lang w:val="es-ES"/>
              </w:rPr>
            </w:pPr>
            <w:r>
              <w:rPr>
                <w:b/>
                <w:lang w:val="es-ES"/>
              </w:rPr>
              <w:t>Firma</w:t>
            </w:r>
          </w:p>
        </w:tc>
      </w:tr>
      <w:tr w:rsidR="007F474A" w14:paraId="79690862" w14:textId="77777777" w:rsidTr="007F474A">
        <w:tc>
          <w:tcPr>
            <w:tcW w:w="3116" w:type="dxa"/>
          </w:tcPr>
          <w:p w14:paraId="70B134B0" w14:textId="77777777" w:rsidR="007F474A" w:rsidRDefault="007F474A" w:rsidP="007F474A">
            <w:pPr>
              <w:jc w:val="both"/>
              <w:rPr>
                <w:lang w:val="es-ES"/>
              </w:rPr>
            </w:pPr>
          </w:p>
          <w:p w14:paraId="74079F48" w14:textId="4CB5ACC1" w:rsidR="007F474A" w:rsidRDefault="007F474A" w:rsidP="007F474A">
            <w:pPr>
              <w:jc w:val="both"/>
              <w:rPr>
                <w:lang w:val="es-ES"/>
              </w:rPr>
            </w:pPr>
            <w:r>
              <w:rPr>
                <w:lang w:val="es-ES"/>
              </w:rPr>
              <w:t>Elaborado por</w:t>
            </w:r>
          </w:p>
          <w:p w14:paraId="56E5EB0F" w14:textId="77777777" w:rsidR="007F474A" w:rsidRDefault="007F474A" w:rsidP="007F474A">
            <w:pPr>
              <w:jc w:val="both"/>
              <w:rPr>
                <w:lang w:val="es-ES"/>
              </w:rPr>
            </w:pPr>
          </w:p>
          <w:p w14:paraId="20E35011" w14:textId="637692AD" w:rsidR="007F474A" w:rsidRPr="007F474A" w:rsidRDefault="007F474A" w:rsidP="007F474A">
            <w:pPr>
              <w:jc w:val="both"/>
              <w:rPr>
                <w:lang w:val="es-ES"/>
              </w:rPr>
            </w:pPr>
          </w:p>
        </w:tc>
        <w:tc>
          <w:tcPr>
            <w:tcW w:w="3117" w:type="dxa"/>
          </w:tcPr>
          <w:p w14:paraId="0A06E1F6" w14:textId="77777777" w:rsidR="007F474A" w:rsidRDefault="007F474A" w:rsidP="007F474A">
            <w:pPr>
              <w:jc w:val="both"/>
              <w:rPr>
                <w:lang w:val="es-ES"/>
              </w:rPr>
            </w:pPr>
          </w:p>
          <w:p w14:paraId="26B1454E" w14:textId="59937BF2" w:rsidR="007F474A" w:rsidRPr="007F474A" w:rsidRDefault="007F474A" w:rsidP="007F474A">
            <w:pPr>
              <w:jc w:val="both"/>
              <w:rPr>
                <w:lang w:val="es-ES"/>
              </w:rPr>
            </w:pPr>
            <w:r w:rsidRPr="007F474A">
              <w:rPr>
                <w:lang w:val="es-ES"/>
              </w:rPr>
              <w:t>Andrés Zambrano</w:t>
            </w:r>
          </w:p>
          <w:p w14:paraId="4B835220" w14:textId="11CA1043" w:rsidR="007F474A" w:rsidRPr="007F474A" w:rsidRDefault="007F474A" w:rsidP="007F474A">
            <w:pPr>
              <w:jc w:val="both"/>
              <w:rPr>
                <w:lang w:val="es-ES"/>
              </w:rPr>
            </w:pPr>
            <w:r w:rsidRPr="007F474A">
              <w:rPr>
                <w:lang w:val="es-ES"/>
              </w:rPr>
              <w:t>Analista Jurídico</w:t>
            </w:r>
          </w:p>
        </w:tc>
        <w:tc>
          <w:tcPr>
            <w:tcW w:w="1984" w:type="dxa"/>
          </w:tcPr>
          <w:p w14:paraId="07F26713" w14:textId="77777777" w:rsidR="007F474A" w:rsidRDefault="007F474A" w:rsidP="007F474A">
            <w:pPr>
              <w:jc w:val="both"/>
              <w:rPr>
                <w:b/>
                <w:lang w:val="es-ES"/>
              </w:rPr>
            </w:pPr>
          </w:p>
        </w:tc>
      </w:tr>
      <w:tr w:rsidR="007F474A" w:rsidRPr="00971D3C" w14:paraId="7E13AE8A" w14:textId="77777777" w:rsidTr="008845CC">
        <w:trPr>
          <w:trHeight w:val="644"/>
        </w:trPr>
        <w:tc>
          <w:tcPr>
            <w:tcW w:w="3116" w:type="dxa"/>
          </w:tcPr>
          <w:p w14:paraId="690F42E1" w14:textId="77777777" w:rsidR="007F474A" w:rsidRDefault="007F474A" w:rsidP="007F474A">
            <w:pPr>
              <w:jc w:val="both"/>
              <w:rPr>
                <w:lang w:val="es-ES"/>
              </w:rPr>
            </w:pPr>
          </w:p>
          <w:p w14:paraId="4A158B4E" w14:textId="0985915A" w:rsidR="007F474A" w:rsidRDefault="007F474A" w:rsidP="007F474A">
            <w:pPr>
              <w:jc w:val="both"/>
              <w:rPr>
                <w:lang w:val="es-ES"/>
              </w:rPr>
            </w:pPr>
            <w:r>
              <w:rPr>
                <w:lang w:val="es-ES"/>
              </w:rPr>
              <w:t>Aprobado por</w:t>
            </w:r>
          </w:p>
          <w:p w14:paraId="60A96202" w14:textId="77777777" w:rsidR="007F474A" w:rsidRDefault="007F474A" w:rsidP="007F474A">
            <w:pPr>
              <w:jc w:val="both"/>
              <w:rPr>
                <w:lang w:val="es-ES"/>
              </w:rPr>
            </w:pPr>
          </w:p>
          <w:p w14:paraId="4D73988D" w14:textId="378E1431" w:rsidR="007F474A" w:rsidRPr="007F474A" w:rsidRDefault="007F474A" w:rsidP="007F474A">
            <w:pPr>
              <w:jc w:val="both"/>
              <w:rPr>
                <w:lang w:val="es-ES"/>
              </w:rPr>
            </w:pPr>
          </w:p>
        </w:tc>
        <w:tc>
          <w:tcPr>
            <w:tcW w:w="3117" w:type="dxa"/>
          </w:tcPr>
          <w:p w14:paraId="2B2BDC78" w14:textId="77777777" w:rsidR="007F474A" w:rsidRDefault="007F474A" w:rsidP="007F474A">
            <w:pPr>
              <w:jc w:val="both"/>
              <w:rPr>
                <w:lang w:val="es-ES"/>
              </w:rPr>
            </w:pPr>
          </w:p>
          <w:p w14:paraId="18B92962" w14:textId="45175530" w:rsidR="007F474A" w:rsidRDefault="007F474A" w:rsidP="007F474A">
            <w:pPr>
              <w:jc w:val="both"/>
              <w:rPr>
                <w:lang w:val="es-ES"/>
              </w:rPr>
            </w:pPr>
            <w:r>
              <w:rPr>
                <w:lang w:val="es-ES"/>
              </w:rPr>
              <w:t>César Chamorro</w:t>
            </w:r>
          </w:p>
          <w:p w14:paraId="66B04A4A" w14:textId="7BE28B78" w:rsidR="007F474A" w:rsidRPr="007F474A" w:rsidRDefault="007F474A" w:rsidP="007F474A">
            <w:pPr>
              <w:jc w:val="both"/>
              <w:rPr>
                <w:lang w:val="es-ES"/>
              </w:rPr>
            </w:pPr>
            <w:r>
              <w:rPr>
                <w:lang w:val="es-ES"/>
              </w:rPr>
              <w:t>Director de Asesoría Jurídica</w:t>
            </w:r>
          </w:p>
        </w:tc>
        <w:tc>
          <w:tcPr>
            <w:tcW w:w="1984" w:type="dxa"/>
          </w:tcPr>
          <w:p w14:paraId="141ED665" w14:textId="77777777" w:rsidR="007F474A" w:rsidRDefault="007F474A" w:rsidP="007F474A">
            <w:pPr>
              <w:jc w:val="both"/>
              <w:rPr>
                <w:b/>
                <w:lang w:val="es-ES"/>
              </w:rPr>
            </w:pPr>
          </w:p>
        </w:tc>
      </w:tr>
    </w:tbl>
    <w:p w14:paraId="088D2D42" w14:textId="77777777" w:rsidR="007F474A" w:rsidRPr="007F474A" w:rsidRDefault="007F474A" w:rsidP="007F474A">
      <w:pPr>
        <w:spacing w:after="0" w:line="240" w:lineRule="auto"/>
        <w:jc w:val="both"/>
        <w:rPr>
          <w:b/>
          <w:lang w:val="es-ES"/>
        </w:rPr>
      </w:pPr>
    </w:p>
    <w:sectPr w:rsidR="007F474A" w:rsidRPr="007F474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94A7" w14:textId="77777777" w:rsidR="0086097D" w:rsidRDefault="0086097D" w:rsidP="00A93322">
      <w:pPr>
        <w:spacing w:after="0" w:line="240" w:lineRule="auto"/>
      </w:pPr>
      <w:r>
        <w:separator/>
      </w:r>
    </w:p>
  </w:endnote>
  <w:endnote w:type="continuationSeparator" w:id="0">
    <w:p w14:paraId="0DB29D59" w14:textId="77777777" w:rsidR="0086097D" w:rsidRDefault="0086097D" w:rsidP="00A9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571054"/>
      <w:docPartObj>
        <w:docPartGallery w:val="Page Numbers (Bottom of Page)"/>
        <w:docPartUnique/>
      </w:docPartObj>
    </w:sdtPr>
    <w:sdtEndPr/>
    <w:sdtContent>
      <w:p w14:paraId="44268DB0" w14:textId="76A5894E" w:rsidR="007F474A" w:rsidRDefault="007F474A">
        <w:pPr>
          <w:pStyle w:val="Piedepgina"/>
          <w:jc w:val="right"/>
        </w:pPr>
        <w:r>
          <w:fldChar w:fldCharType="begin"/>
        </w:r>
        <w:r>
          <w:instrText>PAGE   \* MERGEFORMAT</w:instrText>
        </w:r>
        <w:r>
          <w:fldChar w:fldCharType="separate"/>
        </w:r>
        <w:r>
          <w:rPr>
            <w:lang w:val="es-ES"/>
          </w:rPr>
          <w:t>2</w:t>
        </w:r>
        <w:r>
          <w:fldChar w:fldCharType="end"/>
        </w:r>
      </w:p>
    </w:sdtContent>
  </w:sdt>
  <w:p w14:paraId="4207F371" w14:textId="77777777" w:rsidR="007F474A" w:rsidRDefault="007F47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956B" w14:textId="77777777" w:rsidR="0086097D" w:rsidRDefault="0086097D" w:rsidP="00A93322">
      <w:pPr>
        <w:spacing w:after="0" w:line="240" w:lineRule="auto"/>
      </w:pPr>
      <w:r>
        <w:separator/>
      </w:r>
    </w:p>
  </w:footnote>
  <w:footnote w:type="continuationSeparator" w:id="0">
    <w:p w14:paraId="6C57DE31" w14:textId="77777777" w:rsidR="0086097D" w:rsidRDefault="0086097D" w:rsidP="00A93322">
      <w:pPr>
        <w:spacing w:after="0" w:line="240" w:lineRule="auto"/>
      </w:pPr>
      <w:r>
        <w:continuationSeparator/>
      </w:r>
    </w:p>
  </w:footnote>
  <w:footnote w:id="1">
    <w:p w14:paraId="0A78B2AA" w14:textId="3C29E8C1" w:rsidR="0086097D" w:rsidRPr="00A93322" w:rsidRDefault="0086097D" w:rsidP="00A93322">
      <w:pPr>
        <w:autoSpaceDE w:val="0"/>
        <w:autoSpaceDN w:val="0"/>
        <w:adjustRightInd w:val="0"/>
        <w:spacing w:after="0" w:line="240" w:lineRule="auto"/>
        <w:jc w:val="both"/>
        <w:rPr>
          <w:rFonts w:ascii="Arial" w:hAnsi="Arial" w:cs="Arial"/>
          <w:color w:val="000000"/>
          <w:sz w:val="16"/>
          <w:szCs w:val="16"/>
          <w:lang w:val="es-ES"/>
        </w:rPr>
      </w:pPr>
      <w:r>
        <w:rPr>
          <w:rStyle w:val="Refdenotaalpie"/>
        </w:rPr>
        <w:footnoteRef/>
      </w:r>
      <w:r w:rsidRPr="00A93322">
        <w:rPr>
          <w:lang w:val="es-ES"/>
        </w:rPr>
        <w:t xml:space="preserve"> </w:t>
      </w:r>
      <w:r w:rsidRPr="00A93322">
        <w:rPr>
          <w:rFonts w:ascii="Arial" w:hAnsi="Arial" w:cs="Arial"/>
          <w:b/>
          <w:bCs/>
          <w:color w:val="C50606"/>
          <w:sz w:val="16"/>
          <w:szCs w:val="16"/>
          <w:lang w:val="es-ES"/>
        </w:rPr>
        <w:t>Art. 182</w:t>
      </w:r>
      <w:r w:rsidRPr="00A93322">
        <w:rPr>
          <w:rFonts w:ascii="Arial" w:hAnsi="Arial" w:cs="Arial"/>
          <w:color w:val="000000"/>
          <w:sz w:val="16"/>
          <w:szCs w:val="16"/>
          <w:lang w:val="es-ES"/>
        </w:rPr>
        <w:t>.-</w:t>
      </w:r>
      <w:proofErr w:type="gramStart"/>
      <w:r w:rsidRPr="00A93322">
        <w:rPr>
          <w:rFonts w:ascii="Arial" w:hAnsi="Arial" w:cs="Arial"/>
          <w:color w:val="000000"/>
          <w:sz w:val="16"/>
          <w:szCs w:val="16"/>
          <w:lang w:val="es-ES"/>
        </w:rPr>
        <w:t>Calumnia.-</w:t>
      </w:r>
      <w:proofErr w:type="gramEnd"/>
      <w:r w:rsidRPr="00A93322">
        <w:rPr>
          <w:rFonts w:ascii="Arial" w:hAnsi="Arial" w:cs="Arial"/>
          <w:color w:val="000000"/>
          <w:sz w:val="16"/>
          <w:szCs w:val="16"/>
          <w:lang w:val="es-ES"/>
        </w:rPr>
        <w:t>La persona que, por cualquier medio, realice una falsa imputación de un delito en contra de otra, será sancionada con pena privativa de libertad de seis meses a dos años.</w:t>
      </w:r>
    </w:p>
    <w:p w14:paraId="45C9FF38" w14:textId="27B93AA4" w:rsidR="0086097D" w:rsidRPr="00A93322" w:rsidRDefault="0086097D" w:rsidP="00A93322">
      <w:pPr>
        <w:autoSpaceDE w:val="0"/>
        <w:autoSpaceDN w:val="0"/>
        <w:adjustRightInd w:val="0"/>
        <w:spacing w:after="0" w:line="240" w:lineRule="auto"/>
        <w:jc w:val="both"/>
        <w:rPr>
          <w:rFonts w:ascii="Arial" w:hAnsi="Arial" w:cs="Arial"/>
          <w:color w:val="000000"/>
          <w:sz w:val="16"/>
          <w:szCs w:val="16"/>
          <w:lang w:val="es-ES"/>
        </w:rPr>
      </w:pPr>
      <w:r w:rsidRPr="00A93322">
        <w:rPr>
          <w:rFonts w:ascii="Arial" w:hAnsi="Arial" w:cs="Arial"/>
          <w:color w:val="000000"/>
          <w:sz w:val="16"/>
          <w:szCs w:val="16"/>
          <w:lang w:val="es-ES"/>
        </w:rPr>
        <w:t>No constituyen calumnia los pronunciamientos vertidos ante autoridades, jueces y tribunales, cuando las imputaciones se hubieren hecho en razón de la defensa de la causa.</w:t>
      </w:r>
    </w:p>
    <w:p w14:paraId="1D505BDD" w14:textId="16C0C5B2" w:rsidR="0086097D" w:rsidRPr="00A93322" w:rsidRDefault="0086097D" w:rsidP="00A93322">
      <w:pPr>
        <w:autoSpaceDE w:val="0"/>
        <w:autoSpaceDN w:val="0"/>
        <w:adjustRightInd w:val="0"/>
        <w:spacing w:after="0" w:line="240" w:lineRule="auto"/>
        <w:jc w:val="both"/>
        <w:rPr>
          <w:rFonts w:ascii="Arial" w:hAnsi="Arial" w:cs="Arial"/>
          <w:color w:val="000000"/>
          <w:sz w:val="16"/>
          <w:szCs w:val="16"/>
          <w:lang w:val="es-ES"/>
        </w:rPr>
      </w:pPr>
      <w:r w:rsidRPr="00A93322">
        <w:rPr>
          <w:rFonts w:ascii="Arial" w:hAnsi="Arial" w:cs="Arial"/>
          <w:color w:val="000000"/>
          <w:sz w:val="16"/>
          <w:szCs w:val="16"/>
          <w:lang w:val="es-ES"/>
        </w:rPr>
        <w:t>No será responsable de calumnias quien probare la veracidad de las imputaciones. Sin embargo, en ningún caso se admitirá prueba sobre la imputación de un delito que hubiere sido objeto de una sentencia ratificatoria de la inocencia del procesado, de sobreseimiento o archivo.</w:t>
      </w:r>
    </w:p>
    <w:p w14:paraId="1FB1565E" w14:textId="4E25F264" w:rsidR="0086097D" w:rsidRPr="00A93322" w:rsidRDefault="0086097D" w:rsidP="00A93322">
      <w:pPr>
        <w:autoSpaceDE w:val="0"/>
        <w:autoSpaceDN w:val="0"/>
        <w:adjustRightInd w:val="0"/>
        <w:spacing w:after="0" w:line="240" w:lineRule="auto"/>
        <w:jc w:val="both"/>
        <w:rPr>
          <w:lang w:val="es-ES"/>
        </w:rPr>
      </w:pPr>
      <w:r w:rsidRPr="00A93322">
        <w:rPr>
          <w:rFonts w:ascii="Arial" w:hAnsi="Arial" w:cs="Arial"/>
          <w:color w:val="000000"/>
          <w:sz w:val="16"/>
          <w:szCs w:val="16"/>
          <w:lang w:val="es-ES"/>
        </w:rPr>
        <w:t>No habrá lugar a responsabilidad penal si el autor de calumnias, se retractare voluntariamente antes de proferirse sentencia ejecutoriada, siempre que la publicación de la retractación se haga a costa del responsable, se cumpla en el mismo medio y con las mismas características en que se difundió la imputación. La retractación no constituye una forma de aceptación de culpabilidad.</w:t>
      </w:r>
    </w:p>
  </w:footnote>
  <w:footnote w:id="2">
    <w:p w14:paraId="277AB290" w14:textId="7FC86AFE" w:rsidR="0086097D" w:rsidRPr="007A7C54" w:rsidRDefault="0086097D" w:rsidP="007A7C54">
      <w:pPr>
        <w:autoSpaceDE w:val="0"/>
        <w:autoSpaceDN w:val="0"/>
        <w:adjustRightInd w:val="0"/>
        <w:spacing w:after="0" w:line="240" w:lineRule="auto"/>
        <w:rPr>
          <w:rFonts w:ascii="Arial" w:hAnsi="Arial" w:cs="Arial"/>
          <w:color w:val="000000"/>
          <w:sz w:val="16"/>
          <w:szCs w:val="16"/>
          <w:lang w:val="es-ES"/>
        </w:rPr>
      </w:pPr>
      <w:r>
        <w:rPr>
          <w:rStyle w:val="Refdenotaalpie"/>
        </w:rPr>
        <w:footnoteRef/>
      </w:r>
      <w:r w:rsidRPr="007A7C54">
        <w:rPr>
          <w:lang w:val="es-ES"/>
        </w:rPr>
        <w:t xml:space="preserve"> </w:t>
      </w:r>
      <w:r w:rsidRPr="007A7C54">
        <w:rPr>
          <w:rFonts w:ascii="Arial" w:hAnsi="Arial" w:cs="Arial"/>
          <w:b/>
          <w:bCs/>
          <w:color w:val="C50606"/>
          <w:sz w:val="16"/>
          <w:szCs w:val="16"/>
          <w:lang w:val="es-ES"/>
        </w:rPr>
        <w:t>Art. 396</w:t>
      </w:r>
      <w:r w:rsidRPr="007A7C54">
        <w:rPr>
          <w:rFonts w:ascii="Arial" w:hAnsi="Arial" w:cs="Arial"/>
          <w:color w:val="000000"/>
          <w:sz w:val="16"/>
          <w:szCs w:val="16"/>
          <w:lang w:val="es-ES"/>
        </w:rPr>
        <w:t xml:space="preserve">.-Contravenciones de cuarta </w:t>
      </w:r>
      <w:proofErr w:type="gramStart"/>
      <w:r w:rsidRPr="007A7C54">
        <w:rPr>
          <w:rFonts w:ascii="Arial" w:hAnsi="Arial" w:cs="Arial"/>
          <w:color w:val="000000"/>
          <w:sz w:val="16"/>
          <w:szCs w:val="16"/>
          <w:lang w:val="es-ES"/>
        </w:rPr>
        <w:t>clase.-</w:t>
      </w:r>
      <w:proofErr w:type="gramEnd"/>
      <w:r>
        <w:rPr>
          <w:rFonts w:ascii="Arial" w:hAnsi="Arial" w:cs="Arial"/>
          <w:color w:val="000000"/>
          <w:sz w:val="16"/>
          <w:szCs w:val="16"/>
          <w:lang w:val="es-ES"/>
        </w:rPr>
        <w:t xml:space="preserve"> </w:t>
      </w:r>
      <w:r w:rsidRPr="007A7C54">
        <w:rPr>
          <w:rFonts w:ascii="Arial" w:hAnsi="Arial" w:cs="Arial"/>
          <w:color w:val="000000"/>
          <w:sz w:val="16"/>
          <w:szCs w:val="16"/>
          <w:lang w:val="es-ES"/>
        </w:rPr>
        <w:t>Será sancionada con pena privativa de libertad de quince a treinta días: 1. La persona que, por cualquier medio, profiera expresiones en descrédito o deshonra en contra de otra.</w:t>
      </w:r>
    </w:p>
    <w:p w14:paraId="3FD38A5E" w14:textId="2920F995" w:rsidR="0086097D" w:rsidRPr="007A7C54" w:rsidRDefault="0086097D" w:rsidP="007A7C54">
      <w:pPr>
        <w:pStyle w:val="Textonotapie"/>
        <w:rPr>
          <w:lang w:val="es-ES"/>
        </w:rPr>
      </w:pPr>
      <w:r w:rsidRPr="007A7C54">
        <w:rPr>
          <w:rFonts w:ascii="Arial" w:hAnsi="Arial" w:cs="Arial"/>
          <w:color w:val="000000"/>
          <w:sz w:val="16"/>
          <w:szCs w:val="16"/>
          <w:lang w:val="es-ES"/>
        </w:rPr>
        <w:t>Esta contravención no será punible si las expresiones son recíprocas en el mismo acto.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B228" w14:textId="60008354" w:rsidR="007F474A" w:rsidRDefault="007F474A">
    <w:pPr>
      <w:pStyle w:val="Encabezado"/>
    </w:pPr>
    <w:r>
      <w:rPr>
        <w:noProof/>
      </w:rPr>
      <w:drawing>
        <wp:inline distT="0" distB="0" distL="0" distR="0" wp14:anchorId="0EBB0BB4" wp14:editId="5DFDC3F3">
          <wp:extent cx="4537364" cy="108344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ngope (letras).jpg"/>
                  <pic:cNvPicPr/>
                </pic:nvPicPr>
                <pic:blipFill>
                  <a:blip r:embed="rId1">
                    <a:extLst>
                      <a:ext uri="{28A0092B-C50C-407E-A947-70E740481C1C}">
                        <a14:useLocalDpi xmlns:a14="http://schemas.microsoft.com/office/drawing/2010/main" val="0"/>
                      </a:ext>
                    </a:extLst>
                  </a:blip>
                  <a:stretch>
                    <a:fillRect/>
                  </a:stretch>
                </pic:blipFill>
                <pic:spPr>
                  <a:xfrm>
                    <a:off x="0" y="0"/>
                    <a:ext cx="4559261" cy="1088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1647"/>
    <w:multiLevelType w:val="hybridMultilevel"/>
    <w:tmpl w:val="2E3C3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17DBE"/>
    <w:multiLevelType w:val="hybridMultilevel"/>
    <w:tmpl w:val="4560F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70F8C"/>
    <w:multiLevelType w:val="hybridMultilevel"/>
    <w:tmpl w:val="4914E57C"/>
    <w:lvl w:ilvl="0" w:tplc="D2965E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B60DB"/>
    <w:multiLevelType w:val="hybridMultilevel"/>
    <w:tmpl w:val="8B6C1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B0EE2"/>
    <w:multiLevelType w:val="hybridMultilevel"/>
    <w:tmpl w:val="13F01EE0"/>
    <w:lvl w:ilvl="0" w:tplc="D2965E7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C0C33"/>
    <w:multiLevelType w:val="hybridMultilevel"/>
    <w:tmpl w:val="1D303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D8"/>
    <w:rsid w:val="00000642"/>
    <w:rsid w:val="0001056D"/>
    <w:rsid w:val="00016F38"/>
    <w:rsid w:val="00046214"/>
    <w:rsid w:val="000778B6"/>
    <w:rsid w:val="00084DF7"/>
    <w:rsid w:val="00092EE4"/>
    <w:rsid w:val="001350AE"/>
    <w:rsid w:val="00192BF5"/>
    <w:rsid w:val="001D2843"/>
    <w:rsid w:val="001F21F2"/>
    <w:rsid w:val="002109CB"/>
    <w:rsid w:val="002175AE"/>
    <w:rsid w:val="002266FC"/>
    <w:rsid w:val="002345B3"/>
    <w:rsid w:val="00291677"/>
    <w:rsid w:val="0029551C"/>
    <w:rsid w:val="002A0B51"/>
    <w:rsid w:val="002D30DC"/>
    <w:rsid w:val="00356574"/>
    <w:rsid w:val="003727BD"/>
    <w:rsid w:val="0039098F"/>
    <w:rsid w:val="003E0C65"/>
    <w:rsid w:val="003F152B"/>
    <w:rsid w:val="004547F4"/>
    <w:rsid w:val="00484CE1"/>
    <w:rsid w:val="004C73B8"/>
    <w:rsid w:val="004C7CF7"/>
    <w:rsid w:val="00513E22"/>
    <w:rsid w:val="005219AB"/>
    <w:rsid w:val="00525F10"/>
    <w:rsid w:val="005358B0"/>
    <w:rsid w:val="00576D84"/>
    <w:rsid w:val="00595B36"/>
    <w:rsid w:val="005C0ACF"/>
    <w:rsid w:val="005C630C"/>
    <w:rsid w:val="005C685B"/>
    <w:rsid w:val="0068130F"/>
    <w:rsid w:val="006D1D66"/>
    <w:rsid w:val="007033D8"/>
    <w:rsid w:val="00730D65"/>
    <w:rsid w:val="00752D1A"/>
    <w:rsid w:val="00761A0D"/>
    <w:rsid w:val="0078762E"/>
    <w:rsid w:val="007A7C54"/>
    <w:rsid w:val="007B00FE"/>
    <w:rsid w:val="007B453F"/>
    <w:rsid w:val="007F474A"/>
    <w:rsid w:val="0086097D"/>
    <w:rsid w:val="008845CC"/>
    <w:rsid w:val="008914CB"/>
    <w:rsid w:val="008A5237"/>
    <w:rsid w:val="008B6F73"/>
    <w:rsid w:val="0090590C"/>
    <w:rsid w:val="00912A8C"/>
    <w:rsid w:val="00930CA2"/>
    <w:rsid w:val="009405B5"/>
    <w:rsid w:val="00971D3C"/>
    <w:rsid w:val="00975684"/>
    <w:rsid w:val="00976914"/>
    <w:rsid w:val="009C0FB6"/>
    <w:rsid w:val="009D5414"/>
    <w:rsid w:val="009D55BA"/>
    <w:rsid w:val="00A37793"/>
    <w:rsid w:val="00A40A12"/>
    <w:rsid w:val="00A93322"/>
    <w:rsid w:val="00B011CC"/>
    <w:rsid w:val="00B340BB"/>
    <w:rsid w:val="00B530FF"/>
    <w:rsid w:val="00B535F3"/>
    <w:rsid w:val="00B83F55"/>
    <w:rsid w:val="00B92EA8"/>
    <w:rsid w:val="00BA4E5A"/>
    <w:rsid w:val="00BF2D8A"/>
    <w:rsid w:val="00C80382"/>
    <w:rsid w:val="00CD2237"/>
    <w:rsid w:val="00CF2ECB"/>
    <w:rsid w:val="00CF4BC4"/>
    <w:rsid w:val="00D248FC"/>
    <w:rsid w:val="00D8034D"/>
    <w:rsid w:val="00D80D53"/>
    <w:rsid w:val="00D8385E"/>
    <w:rsid w:val="00DA7042"/>
    <w:rsid w:val="00DE4B15"/>
    <w:rsid w:val="00E12635"/>
    <w:rsid w:val="00E33BC6"/>
    <w:rsid w:val="00E43BF4"/>
    <w:rsid w:val="00E505CF"/>
    <w:rsid w:val="00E66BD4"/>
    <w:rsid w:val="00F729A6"/>
    <w:rsid w:val="00FE48E8"/>
    <w:rsid w:val="00F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78B99"/>
  <w15:chartTrackingRefBased/>
  <w15:docId w15:val="{7FE66767-60AC-4D47-86C7-E18C0ADD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1CC"/>
    <w:pPr>
      <w:ind w:left="720"/>
      <w:contextualSpacing/>
    </w:pPr>
  </w:style>
  <w:style w:type="character" w:styleId="Hipervnculo">
    <w:name w:val="Hyperlink"/>
    <w:basedOn w:val="Fuentedeprrafopredeter"/>
    <w:uiPriority w:val="99"/>
    <w:unhideWhenUsed/>
    <w:rsid w:val="00B011CC"/>
    <w:rPr>
      <w:color w:val="0563C1" w:themeColor="hyperlink"/>
      <w:u w:val="single"/>
    </w:rPr>
  </w:style>
  <w:style w:type="character" w:styleId="Mencinsinresolver">
    <w:name w:val="Unresolved Mention"/>
    <w:basedOn w:val="Fuentedeprrafopredeter"/>
    <w:uiPriority w:val="99"/>
    <w:semiHidden/>
    <w:unhideWhenUsed/>
    <w:rsid w:val="00B011CC"/>
    <w:rPr>
      <w:color w:val="605E5C"/>
      <w:shd w:val="clear" w:color="auto" w:fill="E1DFDD"/>
    </w:rPr>
  </w:style>
  <w:style w:type="paragraph" w:styleId="Textonotapie">
    <w:name w:val="footnote text"/>
    <w:basedOn w:val="Normal"/>
    <w:link w:val="TextonotapieCar"/>
    <w:uiPriority w:val="99"/>
    <w:semiHidden/>
    <w:unhideWhenUsed/>
    <w:rsid w:val="00A933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3322"/>
    <w:rPr>
      <w:sz w:val="20"/>
      <w:szCs w:val="20"/>
    </w:rPr>
  </w:style>
  <w:style w:type="character" w:styleId="Refdenotaalpie">
    <w:name w:val="footnote reference"/>
    <w:basedOn w:val="Fuentedeprrafopredeter"/>
    <w:uiPriority w:val="99"/>
    <w:semiHidden/>
    <w:unhideWhenUsed/>
    <w:rsid w:val="00A93322"/>
    <w:rPr>
      <w:vertAlign w:val="superscript"/>
    </w:rPr>
  </w:style>
  <w:style w:type="paragraph" w:styleId="NormalWeb">
    <w:name w:val="Normal (Web)"/>
    <w:basedOn w:val="Normal"/>
    <w:uiPriority w:val="99"/>
    <w:semiHidden/>
    <w:unhideWhenUsed/>
    <w:rsid w:val="001F21F2"/>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F474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F474A"/>
  </w:style>
  <w:style w:type="paragraph" w:styleId="Piedepgina">
    <w:name w:val="footer"/>
    <w:basedOn w:val="Normal"/>
    <w:link w:val="PiedepginaCar"/>
    <w:uiPriority w:val="99"/>
    <w:unhideWhenUsed/>
    <w:rsid w:val="007F474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F474A"/>
  </w:style>
  <w:style w:type="table" w:styleId="Tablaconcuadrcula">
    <w:name w:val="Table Grid"/>
    <w:basedOn w:val="Tablanormal"/>
    <w:uiPriority w:val="39"/>
    <w:rsid w:val="007F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RIIMovilidadAN/status/14222985288403066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6QDWHZ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ambleanacional.gob.ec/es/noticia/73012-comision-recibe-nuevos-aportes-al-proyecto-de-ley-de" TargetMode="External"/><Relationship Id="rId4" Type="http://schemas.openxmlformats.org/officeDocument/2006/relationships/settings" Target="settings.xml"/><Relationship Id="rId9" Type="http://schemas.openxmlformats.org/officeDocument/2006/relationships/hyperlink" Target="https://www.facebook.com/watch/live/?v=364103831776190&amp;ref=watch_perma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8100-5782-4618-AF7B-3A6F9B55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5</Pages>
  <Words>1695</Words>
  <Characters>9664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9</cp:revision>
  <dcterms:created xsi:type="dcterms:W3CDTF">2021-08-10T16:12:00Z</dcterms:created>
  <dcterms:modified xsi:type="dcterms:W3CDTF">2021-08-17T17:36:00Z</dcterms:modified>
</cp:coreProperties>
</file>